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66E4F" w14:textId="77777777" w:rsidR="00C5393B" w:rsidRPr="00500C4E" w:rsidRDefault="004F3B6F" w:rsidP="00C5393B">
      <w:pPr>
        <w:pStyle w:val="WPnumber"/>
        <w:jc w:val="center"/>
      </w:pPr>
      <w:bookmarkStart w:id="0" w:name="_Toc153189647"/>
      <w:r>
        <w:t xml:space="preserve">      </w:t>
      </w:r>
      <w:r w:rsidR="00E6385A">
        <w:t xml:space="preserve">Short Form </w:t>
      </w:r>
      <w:r w:rsidR="00F117C6" w:rsidRPr="00500C4E">
        <w:t>Work Paper</w:t>
      </w:r>
      <w:r w:rsidR="00E6385A">
        <w:t xml:space="preserve"> </w:t>
      </w:r>
      <w:bookmarkEnd w:id="0"/>
      <w:r w:rsidR="00C5393B">
        <w:t>WPSDGENRHC0022</w:t>
      </w:r>
    </w:p>
    <w:p w14:paraId="1A32A39E" w14:textId="77777777" w:rsidR="00C5393B" w:rsidRPr="00500C4E" w:rsidRDefault="00C5393B" w:rsidP="00C5393B">
      <w:pPr>
        <w:pStyle w:val="WPnumber"/>
      </w:pPr>
      <w:r>
        <w:tab/>
      </w:r>
      <w:r>
        <w:rPr>
          <w:rStyle w:val="CaptionChar"/>
          <w:b/>
          <w:bCs w:val="0"/>
        </w:rPr>
        <w:t>Revision 2</w:t>
      </w:r>
    </w:p>
    <w:p w14:paraId="0ED6C051" w14:textId="3B8C6E0A" w:rsidR="00F117C6" w:rsidRPr="00500C4E" w:rsidRDefault="00F117C6" w:rsidP="00C5393B">
      <w:pPr>
        <w:pStyle w:val="WPnumber"/>
        <w:jc w:val="center"/>
        <w:rPr>
          <w:b w:val="0"/>
        </w:rPr>
      </w:pPr>
    </w:p>
    <w:p w14:paraId="5F9C9267" w14:textId="77777777"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14:paraId="14A9755A" w14:textId="77777777"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14:paraId="4407C1CE" w14:textId="77777777" w:rsidR="00F117C6" w:rsidRPr="00500C4E" w:rsidRDefault="00F117C6" w:rsidP="00F117C6">
      <w:pPr>
        <w:rPr>
          <w:rFonts w:cstheme="minorHAnsi"/>
        </w:rPr>
      </w:pPr>
    </w:p>
    <w:p w14:paraId="78A2D9F1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1A8FF827" w14:textId="77777777" w:rsidR="00F117C6" w:rsidRPr="00500C4E" w:rsidRDefault="00F117C6" w:rsidP="00F117C6">
      <w:pPr>
        <w:rPr>
          <w:rFonts w:cstheme="minorHAnsi"/>
        </w:rPr>
      </w:pPr>
    </w:p>
    <w:p w14:paraId="202F9E8D" w14:textId="77777777" w:rsidR="00F117C6" w:rsidRPr="00500C4E" w:rsidRDefault="00F117C6" w:rsidP="00F117C6">
      <w:pPr>
        <w:rPr>
          <w:rFonts w:cstheme="minorHAnsi"/>
        </w:rPr>
      </w:pPr>
    </w:p>
    <w:p w14:paraId="5DE24B68" w14:textId="77777777" w:rsidR="00F117C6" w:rsidRPr="00500C4E" w:rsidRDefault="00F117C6" w:rsidP="00F117C6">
      <w:pPr>
        <w:rPr>
          <w:rFonts w:cstheme="minorHAnsi"/>
        </w:rPr>
      </w:pPr>
    </w:p>
    <w:p w14:paraId="4D73B9DC" w14:textId="77777777" w:rsidR="00F117C6" w:rsidRPr="00500C4E" w:rsidRDefault="00F117C6" w:rsidP="00F117C6">
      <w:pPr>
        <w:rPr>
          <w:rFonts w:cstheme="minorHAnsi"/>
        </w:rPr>
      </w:pPr>
    </w:p>
    <w:p w14:paraId="6BAE0808" w14:textId="77777777" w:rsidR="00F117C6" w:rsidRPr="00500C4E" w:rsidRDefault="00F117C6" w:rsidP="00F117C6">
      <w:pPr>
        <w:rPr>
          <w:rFonts w:cstheme="minorHAnsi"/>
        </w:rPr>
      </w:pPr>
    </w:p>
    <w:p w14:paraId="72C90F7D" w14:textId="77777777" w:rsidR="00C5393B" w:rsidRDefault="00C5393B" w:rsidP="00C5393B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72"/>
          <w:szCs w:val="72"/>
        </w:rPr>
        <w:t>Non-Residential Refrigerant Charge Adjustment</w:t>
      </w:r>
    </w:p>
    <w:p w14:paraId="099FDB33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54A8E8B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6EF5000F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48102D2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2FA0BB4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0A64AAE6" w14:textId="7BD4F1E9" w:rsidR="00E372B8" w:rsidRDefault="00737943" w:rsidP="0062124C">
      <w:pPr>
        <w:ind w:left="648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January </w:t>
      </w:r>
      <w:r w:rsidR="006B3975">
        <w:rPr>
          <w:rFonts w:cstheme="minorHAnsi"/>
          <w:b/>
          <w:sz w:val="28"/>
          <w:szCs w:val="28"/>
        </w:rPr>
        <w:t>1</w:t>
      </w:r>
      <w:r w:rsidR="00970B1F">
        <w:rPr>
          <w:rFonts w:cstheme="minorHAnsi"/>
          <w:b/>
          <w:sz w:val="28"/>
          <w:szCs w:val="28"/>
        </w:rPr>
        <w:t>, 201</w:t>
      </w:r>
      <w:r>
        <w:rPr>
          <w:rFonts w:cstheme="minorHAnsi"/>
          <w:b/>
          <w:sz w:val="28"/>
          <w:szCs w:val="28"/>
        </w:rPr>
        <w:t>9</w:t>
      </w:r>
    </w:p>
    <w:p w14:paraId="52FCF8B8" w14:textId="77777777"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7EE2FCBF" w14:textId="77777777" w:rsidR="00DF780B" w:rsidRPr="00DF780B" w:rsidRDefault="0059117D" w:rsidP="00DF780B">
      <w:pPr>
        <w:jc w:val="right"/>
        <w:rPr>
          <w:rFonts w:cstheme="minorHAnsi"/>
          <w:b/>
          <w:sz w:val="36"/>
          <w:szCs w:val="36"/>
        </w:rPr>
      </w:pPr>
      <w:r w:rsidRPr="00DF780B">
        <w:rPr>
          <w:b/>
          <w:sz w:val="36"/>
          <w:szCs w:val="36"/>
        </w:rPr>
        <w:lastRenderedPageBreak/>
        <w:t xml:space="preserve">SDG&amp;E </w:t>
      </w:r>
      <w:r w:rsidR="00DF780B" w:rsidRPr="00DF780B">
        <w:rPr>
          <w:rFonts w:cstheme="minorHAnsi"/>
          <w:b/>
          <w:sz w:val="36"/>
          <w:szCs w:val="36"/>
        </w:rPr>
        <w:t>Non-Residential Refrigerant Charge Adjustment</w:t>
      </w:r>
    </w:p>
    <w:p w14:paraId="14979BE1" w14:textId="4EB13249" w:rsidR="006B3975" w:rsidRPr="006B3975" w:rsidRDefault="006B3975" w:rsidP="006B3975">
      <w:pPr>
        <w:rPr>
          <w:rFonts w:cs="Calibri"/>
          <w:b/>
          <w:sz w:val="36"/>
          <w:szCs w:val="36"/>
        </w:rPr>
      </w:pPr>
    </w:p>
    <w:p w14:paraId="4DDE8967" w14:textId="5787ECE3" w:rsidR="00FE520B" w:rsidRPr="006374F1" w:rsidRDefault="00FE520B" w:rsidP="00FE520B">
      <w:pPr>
        <w:pStyle w:val="Heading1"/>
        <w:rPr>
          <w:szCs w:val="36"/>
        </w:rPr>
      </w:pPr>
    </w:p>
    <w:p w14:paraId="6D4A1719" w14:textId="77777777" w:rsidR="00413EF4" w:rsidRDefault="00413EF4" w:rsidP="00413EF4">
      <w:pPr>
        <w:pStyle w:val="Heading2"/>
      </w:pPr>
      <w:r>
        <w:t>Introduction</w:t>
      </w:r>
    </w:p>
    <w:p w14:paraId="11509F1B" w14:textId="0CD3B34F" w:rsidR="0062124C" w:rsidRPr="00C5393B" w:rsidRDefault="0062124C" w:rsidP="00C5393B">
      <w:pPr>
        <w:rPr>
          <w:rFonts w:cs="Calibri"/>
          <w:b/>
          <w:sz w:val="20"/>
          <w:szCs w:val="20"/>
        </w:rPr>
      </w:pPr>
      <w:r w:rsidRPr="00C5393B">
        <w:rPr>
          <w:sz w:val="20"/>
          <w:szCs w:val="20"/>
        </w:rPr>
        <w:t>This short form workpaper docum</w:t>
      </w:r>
      <w:r w:rsidR="006B3975" w:rsidRPr="00C5393B">
        <w:rPr>
          <w:sz w:val="20"/>
          <w:szCs w:val="20"/>
        </w:rPr>
        <w:t>ents the values adopted from PGE</w:t>
      </w:r>
      <w:r w:rsidRPr="00C5393B">
        <w:rPr>
          <w:sz w:val="20"/>
          <w:szCs w:val="20"/>
        </w:rPr>
        <w:t>’s workpaper entitled “</w:t>
      </w:r>
      <w:r w:rsidR="00C5393B" w:rsidRPr="00C5393B">
        <w:rPr>
          <w:rFonts w:cs="Calibri"/>
          <w:sz w:val="20"/>
          <w:szCs w:val="20"/>
        </w:rPr>
        <w:t>Refrigerant Charge Adjustment (RCA)</w:t>
      </w:r>
      <w:r w:rsidRPr="00C5393B">
        <w:rPr>
          <w:sz w:val="20"/>
          <w:szCs w:val="20"/>
        </w:rPr>
        <w:t>”</w:t>
      </w:r>
      <w:r w:rsidRPr="0062124C">
        <w:rPr>
          <w:sz w:val="20"/>
          <w:szCs w:val="20"/>
        </w:rPr>
        <w:t xml:space="preserve"> (</w:t>
      </w:r>
      <w:r w:rsidR="00C5393B">
        <w:rPr>
          <w:sz w:val="20"/>
          <w:szCs w:val="20"/>
        </w:rPr>
        <w:t>PGE3PHVC160 Revision 3</w:t>
      </w:r>
      <w:r w:rsidRPr="0062124C">
        <w:rPr>
          <w:sz w:val="20"/>
          <w:szCs w:val="20"/>
        </w:rPr>
        <w:t xml:space="preserve">).  SDG&amp;E adopts all the values in </w:t>
      </w:r>
      <w:r w:rsidR="00C5393B">
        <w:rPr>
          <w:sz w:val="20"/>
          <w:szCs w:val="20"/>
        </w:rPr>
        <w:t>PGE3PHVC160 Revision 3</w:t>
      </w:r>
      <w:r w:rsidRPr="0062124C">
        <w:rPr>
          <w:sz w:val="20"/>
          <w:szCs w:val="20"/>
        </w:rPr>
        <w:t>, with the following exceptions:</w:t>
      </w:r>
    </w:p>
    <w:p w14:paraId="2AA462CA" w14:textId="6F8D0A3B" w:rsidR="0062124C" w:rsidRDefault="0062124C" w:rsidP="0062124C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Measure Application Type was adjusted to </w:t>
      </w:r>
      <w:r w:rsidR="00A52998">
        <w:rPr>
          <w:sz w:val="20"/>
          <w:szCs w:val="20"/>
        </w:rPr>
        <w:t>BRO-</w:t>
      </w:r>
      <w:proofErr w:type="spellStart"/>
      <w:r w:rsidR="00A52998">
        <w:rPr>
          <w:sz w:val="20"/>
          <w:szCs w:val="20"/>
        </w:rPr>
        <w:t>RCx</w:t>
      </w:r>
      <w:proofErr w:type="spellEnd"/>
      <w:r>
        <w:rPr>
          <w:sz w:val="20"/>
          <w:szCs w:val="20"/>
        </w:rPr>
        <w:t xml:space="preserve"> </w:t>
      </w:r>
      <w:r w:rsidRPr="0062124C">
        <w:rPr>
          <w:sz w:val="20"/>
          <w:szCs w:val="20"/>
        </w:rPr>
        <w:t xml:space="preserve">from </w:t>
      </w:r>
      <w:r w:rsidR="006B3975">
        <w:rPr>
          <w:rFonts w:cs="Arial"/>
          <w:sz w:val="20"/>
          <w:szCs w:val="20"/>
        </w:rPr>
        <w:t>Retro-Commissioning (RC</w:t>
      </w:r>
      <w:r>
        <w:rPr>
          <w:rFonts w:cs="Arial"/>
          <w:sz w:val="20"/>
          <w:szCs w:val="20"/>
        </w:rPr>
        <w:t>)</w:t>
      </w:r>
      <w:r w:rsidR="006C697C">
        <w:rPr>
          <w:rFonts w:cs="Arial"/>
          <w:sz w:val="20"/>
          <w:szCs w:val="20"/>
        </w:rPr>
        <w:t xml:space="preserve"> </w:t>
      </w:r>
      <w:r w:rsidR="006C697C">
        <w:rPr>
          <w:sz w:val="20"/>
          <w:szCs w:val="20"/>
        </w:rPr>
        <w:t>per E-4818.</w:t>
      </w:r>
    </w:p>
    <w:p w14:paraId="10CE5BAB" w14:textId="3FB3E392" w:rsidR="00C5393B" w:rsidRDefault="00DF780B" w:rsidP="0062124C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 addition to the “Typical” measures adopted as part of PGE3PHVC160 Revision 3. SDG&amp;E also adopted impacts from “High” and “Low” charge measures from </w:t>
      </w:r>
      <w:proofErr w:type="spellStart"/>
      <w:r>
        <w:rPr>
          <w:sz w:val="20"/>
          <w:szCs w:val="20"/>
        </w:rPr>
        <w:t>READi</w:t>
      </w:r>
      <w:proofErr w:type="spellEnd"/>
      <w:r>
        <w:rPr>
          <w:sz w:val="20"/>
          <w:szCs w:val="20"/>
        </w:rPr>
        <w:t xml:space="preserve"> 2.5.1 as listed in Measures table below. </w:t>
      </w:r>
    </w:p>
    <w:p w14:paraId="732E3639" w14:textId="7759F3E7" w:rsidR="00FD6239" w:rsidRPr="00FD6239" w:rsidRDefault="00FD6239" w:rsidP="0062124C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 w:rsidRPr="00FD6239">
        <w:rPr>
          <w:sz w:val="20"/>
          <w:szCs w:val="20"/>
        </w:rPr>
        <w:t>SDG&amp;E is in the process of simplifying its internal Ex Ante data and tracking data warehouse.   Part of that process requires that there be savings values</w:t>
      </w:r>
      <w:r>
        <w:rPr>
          <w:sz w:val="20"/>
          <w:szCs w:val="20"/>
        </w:rPr>
        <w:t xml:space="preserve"> for all potential climate zone and building type </w:t>
      </w:r>
      <w:r w:rsidRPr="00FD6239">
        <w:rPr>
          <w:sz w:val="20"/>
          <w:szCs w:val="20"/>
        </w:rPr>
        <w:t>combinations</w:t>
      </w:r>
      <w:r w:rsidR="00DA7C7F">
        <w:rPr>
          <w:sz w:val="20"/>
          <w:szCs w:val="20"/>
        </w:rPr>
        <w:t>.</w:t>
      </w:r>
      <w:r w:rsidRPr="00FD6239">
        <w:rPr>
          <w:sz w:val="20"/>
          <w:szCs w:val="20"/>
        </w:rPr>
        <w:t xml:space="preserve"> </w:t>
      </w:r>
      <w:proofErr w:type="spellStart"/>
      <w:r w:rsidRPr="00FD6239">
        <w:rPr>
          <w:sz w:val="20"/>
          <w:szCs w:val="20"/>
        </w:rPr>
        <w:t>READi</w:t>
      </w:r>
      <w:proofErr w:type="spellEnd"/>
      <w:r w:rsidRPr="00FD6239">
        <w:rPr>
          <w:sz w:val="20"/>
          <w:szCs w:val="20"/>
        </w:rPr>
        <w:t xml:space="preserve"> v2.5.1 did not include impacts for building types </w:t>
      </w:r>
      <w:proofErr w:type="spellStart"/>
      <w:r w:rsidRPr="00FD6239">
        <w:rPr>
          <w:sz w:val="20"/>
          <w:szCs w:val="20"/>
        </w:rPr>
        <w:t>Gro</w:t>
      </w:r>
      <w:proofErr w:type="spellEnd"/>
      <w:r w:rsidRPr="00FD6239">
        <w:rPr>
          <w:sz w:val="20"/>
          <w:szCs w:val="20"/>
        </w:rPr>
        <w:t xml:space="preserve">, </w:t>
      </w:r>
      <w:proofErr w:type="spellStart"/>
      <w:r w:rsidRPr="00FD6239">
        <w:rPr>
          <w:sz w:val="20"/>
          <w:szCs w:val="20"/>
        </w:rPr>
        <w:t>Mtl</w:t>
      </w:r>
      <w:proofErr w:type="spellEnd"/>
      <w:r w:rsidRPr="00FD6239">
        <w:rPr>
          <w:sz w:val="20"/>
          <w:szCs w:val="20"/>
        </w:rPr>
        <w:t xml:space="preserve">, </w:t>
      </w:r>
      <w:proofErr w:type="spellStart"/>
      <w:r w:rsidRPr="00FD6239">
        <w:rPr>
          <w:sz w:val="20"/>
          <w:szCs w:val="20"/>
        </w:rPr>
        <w:t>S</w:t>
      </w:r>
      <w:r>
        <w:rPr>
          <w:sz w:val="20"/>
          <w:szCs w:val="20"/>
        </w:rPr>
        <w:t>U</w:t>
      </w:r>
      <w:r w:rsidRPr="00FD6239">
        <w:rPr>
          <w:sz w:val="20"/>
          <w:szCs w:val="20"/>
        </w:rPr>
        <w:t>n</w:t>
      </w:r>
      <w:proofErr w:type="spellEnd"/>
      <w:r w:rsidRPr="00FD623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or </w:t>
      </w:r>
      <w:proofErr w:type="spellStart"/>
      <w:r>
        <w:rPr>
          <w:sz w:val="20"/>
          <w:szCs w:val="20"/>
        </w:rPr>
        <w:t>WRf</w:t>
      </w:r>
      <w:proofErr w:type="spellEnd"/>
      <w:r>
        <w:rPr>
          <w:sz w:val="20"/>
          <w:szCs w:val="20"/>
        </w:rPr>
        <w:t xml:space="preserve"> so the data tables include </w:t>
      </w:r>
      <w:proofErr w:type="spellStart"/>
      <w:r w:rsidRPr="00FD6239">
        <w:rPr>
          <w:sz w:val="20"/>
          <w:szCs w:val="20"/>
        </w:rPr>
        <w:t>Gro</w:t>
      </w:r>
      <w:proofErr w:type="spellEnd"/>
      <w:r w:rsidRPr="00FD6239">
        <w:rPr>
          <w:sz w:val="20"/>
          <w:szCs w:val="20"/>
        </w:rPr>
        <w:t xml:space="preserve">, </w:t>
      </w:r>
      <w:proofErr w:type="spellStart"/>
      <w:r w:rsidRPr="00FD6239">
        <w:rPr>
          <w:sz w:val="20"/>
          <w:szCs w:val="20"/>
        </w:rPr>
        <w:t>Mtl</w:t>
      </w:r>
      <w:proofErr w:type="spellEnd"/>
      <w:r w:rsidRPr="00FD6239">
        <w:rPr>
          <w:sz w:val="20"/>
          <w:szCs w:val="20"/>
        </w:rPr>
        <w:t xml:space="preserve">, </w:t>
      </w:r>
      <w:proofErr w:type="spellStart"/>
      <w:r w:rsidRPr="00FD6239">
        <w:rPr>
          <w:sz w:val="20"/>
          <w:szCs w:val="20"/>
        </w:rPr>
        <w:t>S</w:t>
      </w:r>
      <w:r>
        <w:rPr>
          <w:sz w:val="20"/>
          <w:szCs w:val="20"/>
        </w:rPr>
        <w:t>U</w:t>
      </w:r>
      <w:r w:rsidRPr="00FD6239">
        <w:rPr>
          <w:sz w:val="20"/>
          <w:szCs w:val="20"/>
        </w:rPr>
        <w:t>n</w:t>
      </w:r>
      <w:proofErr w:type="spellEnd"/>
      <w:r w:rsidRPr="00FD623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or </w:t>
      </w:r>
      <w:proofErr w:type="spellStart"/>
      <w:r>
        <w:rPr>
          <w:sz w:val="20"/>
          <w:szCs w:val="20"/>
        </w:rPr>
        <w:t>WRf</w:t>
      </w:r>
      <w:proofErr w:type="spellEnd"/>
      <w:r>
        <w:rPr>
          <w:sz w:val="20"/>
          <w:szCs w:val="20"/>
        </w:rPr>
        <w:t xml:space="preserve"> for all climate zones with zero savings.</w:t>
      </w:r>
      <w:r w:rsidR="00DA7C7F" w:rsidRPr="00DA7C7F">
        <w:rPr>
          <w:rFonts w:ascii="Arial" w:hAnsi="Arial" w:cs="Arial"/>
        </w:rPr>
        <w:t xml:space="preserve"> </w:t>
      </w:r>
      <w:r w:rsidR="00DA7C7F" w:rsidRPr="00DA7C7F">
        <w:rPr>
          <w:rFonts w:cstheme="minorHAnsi"/>
          <w:sz w:val="20"/>
          <w:szCs w:val="20"/>
        </w:rPr>
        <w:t xml:space="preserve">The following building types ECC, </w:t>
      </w:r>
      <w:proofErr w:type="spellStart"/>
      <w:r w:rsidR="00DA7C7F" w:rsidRPr="00DA7C7F">
        <w:rPr>
          <w:rFonts w:cstheme="minorHAnsi"/>
          <w:sz w:val="20"/>
          <w:szCs w:val="20"/>
        </w:rPr>
        <w:t>EUn</w:t>
      </w:r>
      <w:proofErr w:type="spellEnd"/>
      <w:r w:rsidR="00DA7C7F" w:rsidRPr="00DA7C7F">
        <w:rPr>
          <w:rFonts w:cstheme="minorHAnsi"/>
          <w:sz w:val="20"/>
          <w:szCs w:val="20"/>
        </w:rPr>
        <w:t xml:space="preserve">, </w:t>
      </w:r>
      <w:r w:rsidR="00DA7C7F">
        <w:rPr>
          <w:rFonts w:cstheme="minorHAnsi"/>
          <w:sz w:val="20"/>
          <w:szCs w:val="20"/>
        </w:rPr>
        <w:t xml:space="preserve">and </w:t>
      </w:r>
      <w:proofErr w:type="spellStart"/>
      <w:r w:rsidR="00DA7C7F" w:rsidRPr="00DA7C7F">
        <w:rPr>
          <w:rFonts w:cstheme="minorHAnsi"/>
          <w:sz w:val="20"/>
          <w:szCs w:val="20"/>
        </w:rPr>
        <w:t>Hsp</w:t>
      </w:r>
      <w:proofErr w:type="spellEnd"/>
      <w:r w:rsidR="00DA7C7F">
        <w:rPr>
          <w:rFonts w:cstheme="minorHAnsi"/>
          <w:sz w:val="20"/>
          <w:szCs w:val="20"/>
        </w:rPr>
        <w:t xml:space="preserve"> </w:t>
      </w:r>
      <w:r w:rsidR="00DA7C7F" w:rsidRPr="00DA7C7F">
        <w:rPr>
          <w:rFonts w:cstheme="minorHAnsi"/>
          <w:sz w:val="20"/>
          <w:szCs w:val="20"/>
        </w:rPr>
        <w:t>were only missing location 15 climate zone so the ex-ante data adopted SCG energy efficiency impacts for climate zone 15.</w:t>
      </w:r>
      <w:r w:rsidRPr="00DA7C7F">
        <w:rPr>
          <w:sz w:val="20"/>
          <w:szCs w:val="20"/>
        </w:rPr>
        <w:t xml:space="preserve"> </w:t>
      </w:r>
    </w:p>
    <w:p w14:paraId="133347CC" w14:textId="77777777"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4"/>
        <w:gridCol w:w="1259"/>
        <w:gridCol w:w="1763"/>
        <w:gridCol w:w="5804"/>
      </w:tblGrid>
      <w:tr w:rsidR="00B57F32" w:rsidRPr="00500C4E" w14:paraId="77A36BBE" w14:textId="77777777" w:rsidTr="00C5393B">
        <w:trPr>
          <w:trHeight w:val="20"/>
        </w:trPr>
        <w:tc>
          <w:tcPr>
            <w:tcW w:w="280" w:type="pct"/>
            <w:shd w:val="clear" w:color="auto" w:fill="D9D9D9" w:themeFill="background1" w:themeFillShade="D9"/>
          </w:tcPr>
          <w:p w14:paraId="31560AD1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73" w:type="pct"/>
            <w:shd w:val="clear" w:color="auto" w:fill="D9D9D9" w:themeFill="background1" w:themeFillShade="D9"/>
          </w:tcPr>
          <w:p w14:paraId="4CE9C61F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43" w:type="pct"/>
            <w:shd w:val="clear" w:color="auto" w:fill="D9D9D9" w:themeFill="background1" w:themeFillShade="D9"/>
          </w:tcPr>
          <w:p w14:paraId="3F627711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04" w:type="pct"/>
            <w:shd w:val="clear" w:color="auto" w:fill="D9D9D9" w:themeFill="background1" w:themeFillShade="D9"/>
          </w:tcPr>
          <w:p w14:paraId="3F7E9EEB" w14:textId="77777777"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C5393B" w:rsidRPr="00500C4E" w14:paraId="19ED8C42" w14:textId="77777777" w:rsidTr="00C5393B">
        <w:trPr>
          <w:trHeight w:val="20"/>
        </w:trPr>
        <w:tc>
          <w:tcPr>
            <w:tcW w:w="280" w:type="pct"/>
          </w:tcPr>
          <w:p w14:paraId="53695813" w14:textId="2CC2F3F4" w:rsidR="00C5393B" w:rsidRPr="000E2B6B" w:rsidRDefault="00C5393B" w:rsidP="00C5393B">
            <w:pPr>
              <w:jc w:val="center"/>
              <w:rPr>
                <w:rFonts w:cstheme="minorHAnsi"/>
              </w:rPr>
            </w:pPr>
            <w:r>
              <w:t>0</w:t>
            </w:r>
          </w:p>
        </w:tc>
        <w:tc>
          <w:tcPr>
            <w:tcW w:w="673" w:type="pct"/>
          </w:tcPr>
          <w:p w14:paraId="0B64BB14" w14:textId="30551838" w:rsidR="00C5393B" w:rsidRPr="000E2B6B" w:rsidRDefault="00C5393B" w:rsidP="00C5393B">
            <w:pPr>
              <w:jc w:val="center"/>
              <w:rPr>
                <w:rFonts w:cstheme="minorHAnsi"/>
              </w:rPr>
            </w:pPr>
            <w:r>
              <w:t>9/28/2011</w:t>
            </w:r>
          </w:p>
        </w:tc>
        <w:tc>
          <w:tcPr>
            <w:tcW w:w="943" w:type="pct"/>
          </w:tcPr>
          <w:p w14:paraId="3269B081" w14:textId="469879F8" w:rsidR="00C5393B" w:rsidRPr="000E2B6B" w:rsidRDefault="00C5393B" w:rsidP="00C5393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Janice Peterson </w:t>
            </w:r>
          </w:p>
        </w:tc>
        <w:tc>
          <w:tcPr>
            <w:tcW w:w="3104" w:type="pct"/>
          </w:tcPr>
          <w:p w14:paraId="30D3A3BC" w14:textId="77777777" w:rsidR="00C5393B" w:rsidRPr="00C131CB" w:rsidRDefault="00C5393B" w:rsidP="00C5393B">
            <w:pPr>
              <w:numPr>
                <w:ilvl w:val="0"/>
                <w:numId w:val="17"/>
              </w:numPr>
              <w:rPr>
                <w:bCs/>
              </w:rPr>
            </w:pPr>
            <w:r>
              <w:rPr>
                <w:bCs/>
              </w:rPr>
              <w:t>Draft Workpaper</w:t>
            </w:r>
          </w:p>
          <w:p w14:paraId="261F4D84" w14:textId="628C061E" w:rsidR="00C5393B" w:rsidRPr="005734A4" w:rsidRDefault="00C5393B" w:rsidP="00C5393B">
            <w:pPr>
              <w:rPr>
                <w:rFonts w:cstheme="minorHAnsi"/>
              </w:rPr>
            </w:pPr>
          </w:p>
        </w:tc>
      </w:tr>
      <w:tr w:rsidR="00C5393B" w:rsidRPr="00500C4E" w14:paraId="3F8262D5" w14:textId="77777777" w:rsidTr="00C5393B">
        <w:trPr>
          <w:trHeight w:val="20"/>
        </w:trPr>
        <w:tc>
          <w:tcPr>
            <w:tcW w:w="280" w:type="pct"/>
          </w:tcPr>
          <w:p w14:paraId="492A8882" w14:textId="42D7F3F5" w:rsidR="00C5393B" w:rsidRPr="00970B1F" w:rsidRDefault="00C5393B" w:rsidP="00C5393B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</w:t>
            </w:r>
          </w:p>
        </w:tc>
        <w:tc>
          <w:tcPr>
            <w:tcW w:w="673" w:type="pct"/>
          </w:tcPr>
          <w:p w14:paraId="7FC3B678" w14:textId="0B80EDCE" w:rsidR="00C5393B" w:rsidRPr="00970B1F" w:rsidRDefault="00C5393B" w:rsidP="00C5393B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10/8/2012</w:t>
            </w:r>
          </w:p>
        </w:tc>
        <w:tc>
          <w:tcPr>
            <w:tcW w:w="943" w:type="pct"/>
          </w:tcPr>
          <w:p w14:paraId="123C123B" w14:textId="7A89FC37" w:rsidR="00C5393B" w:rsidRPr="000E2B6B" w:rsidRDefault="00C5393B" w:rsidP="00C5393B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Charles Harmstead</w:t>
            </w:r>
          </w:p>
        </w:tc>
        <w:tc>
          <w:tcPr>
            <w:tcW w:w="3104" w:type="pct"/>
          </w:tcPr>
          <w:p w14:paraId="3284BD45" w14:textId="77777777" w:rsidR="00C5393B" w:rsidRPr="00C131CB" w:rsidRDefault="00C5393B" w:rsidP="00C5393B">
            <w:pPr>
              <w:numPr>
                <w:ilvl w:val="0"/>
                <w:numId w:val="17"/>
              </w:numPr>
              <w:rPr>
                <w:bCs/>
              </w:rPr>
            </w:pPr>
            <w:r>
              <w:rPr>
                <w:bCs/>
              </w:rPr>
              <w:t>Added SDGE Workpaper number</w:t>
            </w:r>
          </w:p>
          <w:p w14:paraId="259425FF" w14:textId="1A9DCB16" w:rsidR="00C5393B" w:rsidRPr="00762D81" w:rsidRDefault="00C5393B" w:rsidP="00C5393B">
            <w:pPr>
              <w:rPr>
                <w:rStyle w:val="Strong"/>
                <w:b w:val="0"/>
              </w:rPr>
            </w:pPr>
          </w:p>
        </w:tc>
      </w:tr>
      <w:tr w:rsidR="00C5393B" w:rsidRPr="00500C4E" w14:paraId="4FCE8637" w14:textId="77777777" w:rsidTr="00C5393B">
        <w:trPr>
          <w:trHeight w:val="20"/>
        </w:trPr>
        <w:tc>
          <w:tcPr>
            <w:tcW w:w="280" w:type="pct"/>
          </w:tcPr>
          <w:p w14:paraId="08164BE4" w14:textId="2D0F7BCC" w:rsidR="00C5393B" w:rsidRPr="00F2079F" w:rsidRDefault="00C5393B" w:rsidP="00C5393B">
            <w:pPr>
              <w:jc w:val="center"/>
            </w:pPr>
            <w:r>
              <w:t>2</w:t>
            </w:r>
          </w:p>
        </w:tc>
        <w:tc>
          <w:tcPr>
            <w:tcW w:w="673" w:type="pct"/>
          </w:tcPr>
          <w:p w14:paraId="5A6A1A61" w14:textId="7DF051EC" w:rsidR="00C5393B" w:rsidRDefault="00C5393B" w:rsidP="00C5393B">
            <w:pPr>
              <w:jc w:val="center"/>
            </w:pPr>
            <w:r>
              <w:t>12/2</w:t>
            </w:r>
            <w:r w:rsidR="00737943">
              <w:t>6</w:t>
            </w:r>
            <w:r>
              <w:t>/18</w:t>
            </w:r>
          </w:p>
        </w:tc>
        <w:tc>
          <w:tcPr>
            <w:tcW w:w="943" w:type="pct"/>
          </w:tcPr>
          <w:p w14:paraId="3382F00D" w14:textId="5C58C7C4" w:rsidR="00C5393B" w:rsidRDefault="00C5393B" w:rsidP="00C5393B">
            <w:r>
              <w:rPr>
                <w:rFonts w:cstheme="minorHAnsi"/>
              </w:rPr>
              <w:t>Keith Valenzuela (AESC)</w:t>
            </w:r>
          </w:p>
        </w:tc>
        <w:tc>
          <w:tcPr>
            <w:tcW w:w="3104" w:type="pct"/>
          </w:tcPr>
          <w:p w14:paraId="6D8E18AA" w14:textId="7F55200C" w:rsidR="00C5393B" w:rsidRDefault="00C5393B" w:rsidP="00C5393B">
            <w:pPr>
              <w:numPr>
                <w:ilvl w:val="0"/>
                <w:numId w:val="17"/>
              </w:numPr>
              <w:rPr>
                <w:bCs/>
              </w:rPr>
            </w:pPr>
            <w:r>
              <w:rPr>
                <w:bCs/>
              </w:rPr>
              <w:t xml:space="preserve">Updated workpaper name from “Non-Residential RTU Quality Maintenance” to “Non-Residential Refrigerant Charge Adjustment” and removed all measures </w:t>
            </w:r>
            <w:proofErr w:type="gramStart"/>
            <w:r>
              <w:rPr>
                <w:bCs/>
              </w:rPr>
              <w:t>with the exception of</w:t>
            </w:r>
            <w:proofErr w:type="gramEnd"/>
            <w:r>
              <w:rPr>
                <w:bCs/>
              </w:rPr>
              <w:t xml:space="preserve"> non-residential refrigerant charge adjustments</w:t>
            </w:r>
          </w:p>
          <w:p w14:paraId="7FBB7AF2" w14:textId="72188BEC" w:rsidR="00C5393B" w:rsidRPr="00C5393B" w:rsidRDefault="00C5393B" w:rsidP="00C5393B">
            <w:pPr>
              <w:numPr>
                <w:ilvl w:val="0"/>
                <w:numId w:val="17"/>
              </w:numPr>
              <w:rPr>
                <w:bCs/>
              </w:rPr>
            </w:pPr>
            <w:r>
              <w:rPr>
                <w:bCs/>
              </w:rPr>
              <w:t xml:space="preserve">Adopted </w:t>
            </w:r>
            <w:r>
              <w:t>PGE3PHVC160 Revision 3 energy impact and cost values.</w:t>
            </w:r>
          </w:p>
          <w:p w14:paraId="2F834B14" w14:textId="77777777" w:rsidR="00C5393B" w:rsidRPr="00D46928" w:rsidRDefault="00C5393B" w:rsidP="00C5393B">
            <w:pPr>
              <w:numPr>
                <w:ilvl w:val="0"/>
                <w:numId w:val="17"/>
              </w:numPr>
              <w:rPr>
                <w:bCs/>
              </w:rPr>
            </w:pPr>
            <w:r>
              <w:rPr>
                <w:bCs/>
              </w:rPr>
              <w:t xml:space="preserve">Adopted </w:t>
            </w:r>
            <w:r>
              <w:t>READI v.2.5.1 energy impacts for DEER 2019 updates in accordance with Energy Division Resolution E-4867 dated August 24, 2017</w:t>
            </w:r>
          </w:p>
          <w:p w14:paraId="41400361" w14:textId="2D8505BF" w:rsidR="00D46928" w:rsidRPr="00D46928" w:rsidRDefault="00D46928" w:rsidP="00D46928">
            <w:pPr>
              <w:pStyle w:val="ListParagraph"/>
              <w:numPr>
                <w:ilvl w:val="0"/>
                <w:numId w:val="17"/>
              </w:numPr>
              <w:rPr>
                <w:rFonts w:ascii="Calibri" w:hAnsi="Calibri"/>
                <w:bCs/>
                <w:szCs w:val="20"/>
              </w:rPr>
            </w:pPr>
            <w:r w:rsidRPr="00D46928">
              <w:rPr>
                <w:rFonts w:ascii="Calibri" w:hAnsi="Calibri"/>
                <w:bCs/>
                <w:szCs w:val="20"/>
              </w:rPr>
              <w:t>Measure Application Type was adjusted to BRO-</w:t>
            </w:r>
            <w:proofErr w:type="spellStart"/>
            <w:r w:rsidRPr="00D46928">
              <w:rPr>
                <w:rFonts w:ascii="Calibri" w:hAnsi="Calibri"/>
                <w:bCs/>
                <w:szCs w:val="20"/>
              </w:rPr>
              <w:t>RCx</w:t>
            </w:r>
            <w:proofErr w:type="spellEnd"/>
            <w:r w:rsidRPr="00D46928">
              <w:rPr>
                <w:rFonts w:ascii="Calibri" w:hAnsi="Calibri"/>
                <w:bCs/>
                <w:szCs w:val="20"/>
              </w:rPr>
              <w:t xml:space="preserve"> from Retro-Commissioning (RC) per </w:t>
            </w:r>
            <w:r>
              <w:rPr>
                <w:rFonts w:ascii="Calibri" w:hAnsi="Calibri"/>
                <w:bCs/>
                <w:szCs w:val="20"/>
              </w:rPr>
              <w:t>Resolution E-4952/</w:t>
            </w:r>
            <w:bookmarkStart w:id="1" w:name="_GoBack"/>
            <w:bookmarkEnd w:id="1"/>
            <w:r w:rsidRPr="00D46928">
              <w:rPr>
                <w:rFonts w:ascii="Calibri" w:hAnsi="Calibri"/>
                <w:bCs/>
                <w:szCs w:val="20"/>
              </w:rPr>
              <w:t>E-4818.</w:t>
            </w:r>
          </w:p>
        </w:tc>
      </w:tr>
    </w:tbl>
    <w:p w14:paraId="40FFCDFD" w14:textId="77777777" w:rsidR="00DB71F1" w:rsidRDefault="00DB71F1" w:rsidP="00413EF4"/>
    <w:p w14:paraId="308E2CDE" w14:textId="77777777" w:rsidR="00DB71F1" w:rsidRDefault="00DB71F1">
      <w:r>
        <w:br w:type="page"/>
      </w:r>
    </w:p>
    <w:p w14:paraId="595BFED6" w14:textId="77777777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394C4ECE" w14:textId="77777777" w:rsidR="00EE6CFE" w:rsidRPr="00EE6CFE" w:rsidRDefault="00EE6CFE" w:rsidP="0081521B"/>
    <w:p w14:paraId="3F78005D" w14:textId="77777777" w:rsidR="00DB71F1" w:rsidRDefault="00DB71F1" w:rsidP="00DB71F1">
      <w:pPr>
        <w:pStyle w:val="Caption"/>
        <w:keepNext/>
        <w:jc w:val="center"/>
      </w:pPr>
      <w:r>
        <w:t xml:space="preserve">Table </w:t>
      </w:r>
      <w:fldSimple w:instr=" SEQ Table \* ARABIC ">
        <w:r w:rsidR="00C6110B"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1098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2070"/>
        <w:gridCol w:w="8910"/>
      </w:tblGrid>
      <w:tr w:rsidR="00DB71F1" w14:paraId="1DA3D667" w14:textId="77777777" w:rsidTr="00A844D0">
        <w:trPr>
          <w:cantSplit/>
          <w:tblHeader/>
        </w:trPr>
        <w:tc>
          <w:tcPr>
            <w:tcW w:w="2070" w:type="dxa"/>
          </w:tcPr>
          <w:p w14:paraId="79B2CD38" w14:textId="77777777"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8910" w:type="dxa"/>
          </w:tcPr>
          <w:p w14:paraId="5B77CA96" w14:textId="77777777"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1DB5595B" w14:textId="77777777" w:rsidTr="00A844D0">
        <w:trPr>
          <w:cantSplit/>
        </w:trPr>
        <w:tc>
          <w:tcPr>
            <w:tcW w:w="2070" w:type="dxa"/>
            <w:vAlign w:val="center"/>
          </w:tcPr>
          <w:p w14:paraId="3164F533" w14:textId="50240EA8" w:rsidR="00DB71F1" w:rsidRPr="001D77F7" w:rsidRDefault="00B435A3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8910" w:type="dxa"/>
          </w:tcPr>
          <w:p w14:paraId="13577878" w14:textId="5DBF8C0E" w:rsidR="0018637F" w:rsidRPr="00A3243C" w:rsidRDefault="00A3243C" w:rsidP="00A3243C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C5393B">
              <w:rPr>
                <w:sz w:val="20"/>
                <w:szCs w:val="20"/>
              </w:rPr>
              <w:t>PGE3PHVC160 Revision 3</w:t>
            </w:r>
            <w:r>
              <w:rPr>
                <w:sz w:val="20"/>
                <w:szCs w:val="20"/>
              </w:rPr>
              <w:t xml:space="preserve"> Section</w:t>
            </w:r>
            <w:r w:rsidRPr="004D451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1.1 Measure Description &amp; Background.</w:t>
            </w:r>
          </w:p>
        </w:tc>
      </w:tr>
      <w:tr w:rsidR="00DB71F1" w14:paraId="5C999C77" w14:textId="77777777" w:rsidTr="00A844D0">
        <w:trPr>
          <w:cantSplit/>
        </w:trPr>
        <w:tc>
          <w:tcPr>
            <w:tcW w:w="2070" w:type="dxa"/>
            <w:vAlign w:val="center"/>
          </w:tcPr>
          <w:p w14:paraId="1AD0206E" w14:textId="77777777"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8910" w:type="dxa"/>
          </w:tcPr>
          <w:p w14:paraId="6C197DB9" w14:textId="22DAB9CC" w:rsidR="00A3243C" w:rsidRPr="000E65D6" w:rsidRDefault="00A3243C" w:rsidP="00A3243C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C5393B">
              <w:rPr>
                <w:sz w:val="20"/>
                <w:szCs w:val="20"/>
              </w:rPr>
              <w:t>PGE3PHVC160 Revision 3</w:t>
            </w:r>
            <w:r>
              <w:rPr>
                <w:sz w:val="20"/>
                <w:szCs w:val="20"/>
              </w:rPr>
              <w:t xml:space="preserve"> Section 1.2 Technical Description</w:t>
            </w:r>
          </w:p>
          <w:p w14:paraId="2CD0AD6B" w14:textId="77777777" w:rsidR="00DB71F1" w:rsidRPr="00D4142C" w:rsidRDefault="00DB71F1" w:rsidP="00D4142C">
            <w:pPr>
              <w:rPr>
                <w:rFonts w:cs="Arial"/>
                <w:sz w:val="20"/>
                <w:szCs w:val="20"/>
              </w:rPr>
            </w:pPr>
          </w:p>
        </w:tc>
      </w:tr>
      <w:tr w:rsidR="005F021A" w:rsidRPr="008775D7" w14:paraId="7E0F1030" w14:textId="77777777" w:rsidTr="00A844D0">
        <w:trPr>
          <w:cantSplit/>
        </w:trPr>
        <w:tc>
          <w:tcPr>
            <w:tcW w:w="2070" w:type="dxa"/>
          </w:tcPr>
          <w:p w14:paraId="0C145CB9" w14:textId="77777777" w:rsidR="005F021A" w:rsidRPr="00241A1F" w:rsidRDefault="005F021A" w:rsidP="005F021A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lastRenderedPageBreak/>
              <w:t>Measures</w:t>
            </w:r>
          </w:p>
        </w:tc>
        <w:tc>
          <w:tcPr>
            <w:tcW w:w="8910" w:type="dxa"/>
          </w:tcPr>
          <w:p w14:paraId="3EC30EF5" w14:textId="77777777" w:rsidR="004D4511" w:rsidRPr="0018637F" w:rsidRDefault="004D4511" w:rsidP="004D4511">
            <w:pPr>
              <w:pStyle w:val="Caption"/>
              <w:rPr>
                <w:rFonts w:cstheme="minorHAnsi"/>
                <w:sz w:val="20"/>
                <w:szCs w:val="20"/>
              </w:rPr>
            </w:pPr>
            <w:r w:rsidRPr="0018637F">
              <w:rPr>
                <w:rFonts w:cstheme="minorHAnsi"/>
                <w:sz w:val="20"/>
                <w:szCs w:val="20"/>
              </w:rPr>
              <w:t>Measures and Codes</w:t>
            </w:r>
          </w:p>
          <w:tbl>
            <w:tblPr>
              <w:tblStyle w:val="TableGrid1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940"/>
              <w:gridCol w:w="1007"/>
              <w:gridCol w:w="1086"/>
              <w:gridCol w:w="1066"/>
              <w:gridCol w:w="4585"/>
            </w:tblGrid>
            <w:tr w:rsidR="004D4511" w:rsidRPr="0018637F" w14:paraId="006340F9" w14:textId="77777777" w:rsidTr="006B3975">
              <w:tc>
                <w:tcPr>
                  <w:tcW w:w="2360" w:type="pct"/>
                  <w:gridSpan w:val="4"/>
                  <w:shd w:val="clear" w:color="auto" w:fill="D9D9D9" w:themeFill="background1" w:themeFillShade="D9"/>
                </w:tcPr>
                <w:p w14:paraId="5C21A93D" w14:textId="77777777" w:rsidR="004D4511" w:rsidRPr="0018637F" w:rsidRDefault="004D4511" w:rsidP="004D4511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18637F">
                    <w:rPr>
                      <w:rFonts w:asciiTheme="minorHAnsi" w:hAnsiTheme="minorHAnsi" w:cstheme="minorHAnsi"/>
                      <w:b/>
                    </w:rPr>
                    <w:t>Measure Codes</w:t>
                  </w:r>
                </w:p>
              </w:tc>
              <w:tc>
                <w:tcPr>
                  <w:tcW w:w="2640" w:type="pct"/>
                  <w:vMerge w:val="restart"/>
                  <w:shd w:val="clear" w:color="auto" w:fill="D9D9D9" w:themeFill="background1" w:themeFillShade="D9"/>
                </w:tcPr>
                <w:p w14:paraId="12667A01" w14:textId="77777777" w:rsidR="004D4511" w:rsidRPr="0018637F" w:rsidRDefault="004D4511" w:rsidP="004D4511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18637F">
                    <w:rPr>
                      <w:rFonts w:asciiTheme="minorHAnsi" w:hAnsiTheme="minorHAnsi" w:cstheme="minorHAnsi"/>
                      <w:b/>
                    </w:rPr>
                    <w:t>Measure Name</w:t>
                  </w:r>
                </w:p>
              </w:tc>
            </w:tr>
            <w:tr w:rsidR="004D4511" w:rsidRPr="0018637F" w14:paraId="753822EE" w14:textId="77777777" w:rsidTr="00C5393B">
              <w:tc>
                <w:tcPr>
                  <w:tcW w:w="541" w:type="pct"/>
                  <w:shd w:val="clear" w:color="auto" w:fill="F2F2F2" w:themeFill="background1" w:themeFillShade="F2"/>
                </w:tcPr>
                <w:p w14:paraId="7AC0444E" w14:textId="77777777" w:rsidR="004D4511" w:rsidRPr="0018637F" w:rsidRDefault="004D4511" w:rsidP="004D4511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SCG</w:t>
                  </w:r>
                </w:p>
              </w:tc>
              <w:tc>
                <w:tcPr>
                  <w:tcW w:w="580" w:type="pct"/>
                  <w:shd w:val="clear" w:color="auto" w:fill="F2F2F2" w:themeFill="background1" w:themeFillShade="F2"/>
                </w:tcPr>
                <w:p w14:paraId="3D0958DA" w14:textId="77777777" w:rsidR="004D4511" w:rsidRPr="0018637F" w:rsidRDefault="004D4511" w:rsidP="004D4511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SDG&amp;E</w:t>
                  </w:r>
                </w:p>
              </w:tc>
              <w:tc>
                <w:tcPr>
                  <w:tcW w:w="625" w:type="pct"/>
                  <w:shd w:val="clear" w:color="auto" w:fill="F2F2F2" w:themeFill="background1" w:themeFillShade="F2"/>
                </w:tcPr>
                <w:p w14:paraId="2AA27671" w14:textId="77777777" w:rsidR="004D4511" w:rsidRPr="0018637F" w:rsidRDefault="004D4511" w:rsidP="004D4511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SCE</w:t>
                  </w:r>
                </w:p>
              </w:tc>
              <w:tc>
                <w:tcPr>
                  <w:tcW w:w="614" w:type="pct"/>
                  <w:shd w:val="clear" w:color="auto" w:fill="F2F2F2" w:themeFill="background1" w:themeFillShade="F2"/>
                </w:tcPr>
                <w:p w14:paraId="35A69F53" w14:textId="77777777" w:rsidR="004D4511" w:rsidRPr="0018637F" w:rsidRDefault="004D4511" w:rsidP="004D4511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PG&amp;E</w:t>
                  </w:r>
                </w:p>
              </w:tc>
              <w:tc>
                <w:tcPr>
                  <w:tcW w:w="2640" w:type="pct"/>
                  <w:vMerge/>
                </w:tcPr>
                <w:p w14:paraId="543AF790" w14:textId="77777777" w:rsidR="004D4511" w:rsidRPr="0018637F" w:rsidRDefault="004D4511" w:rsidP="004D4511"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C5393B" w:rsidRPr="0018637F" w14:paraId="53E8479A" w14:textId="77777777" w:rsidTr="00C5393B">
              <w:trPr>
                <w:trHeight w:val="243"/>
              </w:trPr>
              <w:tc>
                <w:tcPr>
                  <w:tcW w:w="541" w:type="pct"/>
                </w:tcPr>
                <w:p w14:paraId="05A0F994" w14:textId="77777777" w:rsidR="00C5393B" w:rsidRPr="0018637F" w:rsidRDefault="00C5393B" w:rsidP="00C5393B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580" w:type="pct"/>
                </w:tcPr>
                <w:p w14:paraId="73785F76" w14:textId="77777777" w:rsidR="00C5393B" w:rsidRDefault="001351BC" w:rsidP="00C5393B">
                  <w:pPr>
                    <w:rPr>
                      <w:rFonts w:asciiTheme="minorHAnsi" w:hAnsiTheme="minorHAnsi" w:cstheme="minorHAnsi"/>
                    </w:rPr>
                  </w:pPr>
                  <w:r w:rsidRPr="001351BC">
                    <w:rPr>
                      <w:rFonts w:asciiTheme="minorHAnsi" w:hAnsiTheme="minorHAnsi" w:cstheme="minorHAnsi"/>
                    </w:rPr>
                    <w:t>465645</w:t>
                  </w:r>
                </w:p>
                <w:p w14:paraId="0B9352A6" w14:textId="33C27932" w:rsidR="007D7846" w:rsidRPr="0018637F" w:rsidRDefault="007D7846" w:rsidP="00C5393B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465646</w:t>
                  </w:r>
                </w:p>
              </w:tc>
              <w:tc>
                <w:tcPr>
                  <w:tcW w:w="625" w:type="pct"/>
                </w:tcPr>
                <w:p w14:paraId="2DD66068" w14:textId="040979C3" w:rsidR="00C5393B" w:rsidRPr="0018637F" w:rsidRDefault="00C5393B" w:rsidP="00C5393B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614" w:type="pct"/>
                </w:tcPr>
                <w:p w14:paraId="143D2ECE" w14:textId="62A3BEA5" w:rsidR="00C5393B" w:rsidRPr="0018637F" w:rsidRDefault="00DF780B" w:rsidP="00C5393B">
                  <w:pPr>
                    <w:rPr>
                      <w:rFonts w:asciiTheme="minorHAnsi" w:hAnsiTheme="minorHAnsi" w:cstheme="minorHAnsi"/>
                    </w:rPr>
                  </w:pPr>
                  <w:r>
                    <w:t>HV387</w:t>
                  </w:r>
                </w:p>
              </w:tc>
              <w:tc>
                <w:tcPr>
                  <w:tcW w:w="2640" w:type="pct"/>
                </w:tcPr>
                <w:p w14:paraId="37D50D54" w14:textId="77777777" w:rsidR="00C5393B" w:rsidRDefault="00C5393B" w:rsidP="00C5393B">
                  <w:r>
                    <w:t xml:space="preserve">Small </w:t>
                  </w:r>
                  <w:proofErr w:type="spellStart"/>
                  <w:r>
                    <w:t>Pkg</w:t>
                  </w:r>
                  <w:proofErr w:type="spellEnd"/>
                  <w:r>
                    <w:t xml:space="preserve"> AC system with No TXV, increase refrigerant charge from Typical under-charge (4 - 50%) to factory specified level</w:t>
                  </w:r>
                </w:p>
                <w:p w14:paraId="785CE6FD" w14:textId="77777777" w:rsidR="00C5393B" w:rsidRDefault="00C5393B" w:rsidP="00C5393B">
                  <w:r>
                    <w:t>(NE-HVAC-</w:t>
                  </w:r>
                  <w:proofErr w:type="spellStart"/>
                  <w:r>
                    <w:t>RefChg</w:t>
                  </w:r>
                  <w:proofErr w:type="spellEnd"/>
                  <w:r>
                    <w:t>-Inc-</w:t>
                  </w:r>
                  <w:proofErr w:type="spellStart"/>
                  <w:r>
                    <w:t>Typ</w:t>
                  </w:r>
                  <w:proofErr w:type="spellEnd"/>
                  <w:r>
                    <w:t>-</w:t>
                  </w:r>
                  <w:proofErr w:type="spellStart"/>
                  <w:r>
                    <w:t>ntxv</w:t>
                  </w:r>
                  <w:proofErr w:type="spellEnd"/>
                  <w:r>
                    <w:t>)</w:t>
                  </w:r>
                </w:p>
                <w:p w14:paraId="0A395115" w14:textId="406B6D09" w:rsidR="00734C31" w:rsidRPr="0018637F" w:rsidRDefault="00102A73" w:rsidP="00C5393B">
                  <w:pPr>
                    <w:rPr>
                      <w:rFonts w:asciiTheme="minorHAnsi" w:hAnsiTheme="minorHAnsi" w:cstheme="minorHAnsi"/>
                      <w:color w:val="FF0000"/>
                    </w:rPr>
                  </w:pPr>
                  <w:r w:rsidRPr="00102A73">
                    <w:rPr>
                      <w:rFonts w:asciiTheme="minorHAnsi" w:hAnsiTheme="minorHAnsi" w:cstheme="minorHAnsi"/>
                      <w:color w:val="000000" w:themeColor="text1"/>
                    </w:rPr>
                    <w:t>WPSDGENRHC0022-Rev02-Msr007</w:t>
                  </w:r>
                </w:p>
              </w:tc>
            </w:tr>
            <w:tr w:rsidR="00C5393B" w:rsidRPr="0018637F" w14:paraId="241DD420" w14:textId="77777777" w:rsidTr="00C5393B">
              <w:trPr>
                <w:trHeight w:val="243"/>
              </w:trPr>
              <w:tc>
                <w:tcPr>
                  <w:tcW w:w="541" w:type="pct"/>
                </w:tcPr>
                <w:p w14:paraId="110FC8E6" w14:textId="77777777" w:rsidR="00C5393B" w:rsidRPr="0018637F" w:rsidRDefault="00C5393B" w:rsidP="00C5393B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580" w:type="pct"/>
                </w:tcPr>
                <w:p w14:paraId="77C30890" w14:textId="77777777" w:rsidR="00C5393B" w:rsidRDefault="0022142D" w:rsidP="00C5393B">
                  <w:pPr>
                    <w:rPr>
                      <w:rFonts w:asciiTheme="minorHAnsi" w:hAnsiTheme="minorHAnsi" w:cstheme="minorHAnsi"/>
                    </w:rPr>
                  </w:pPr>
                  <w:r w:rsidRPr="0022142D">
                    <w:rPr>
                      <w:rFonts w:asciiTheme="minorHAnsi" w:hAnsiTheme="minorHAnsi" w:cstheme="minorHAnsi"/>
                    </w:rPr>
                    <w:t>465647</w:t>
                  </w:r>
                </w:p>
                <w:p w14:paraId="259ACCE3" w14:textId="330E4C53" w:rsidR="0022142D" w:rsidRPr="00AD36B2" w:rsidRDefault="00681B91" w:rsidP="00C5393B">
                  <w:pPr>
                    <w:rPr>
                      <w:rFonts w:asciiTheme="minorHAnsi" w:hAnsiTheme="minorHAnsi" w:cstheme="minorHAnsi"/>
                    </w:rPr>
                  </w:pPr>
                  <w:r w:rsidRPr="00681B91">
                    <w:rPr>
                      <w:rFonts w:asciiTheme="minorHAnsi" w:hAnsiTheme="minorHAnsi" w:cstheme="minorHAnsi"/>
                    </w:rPr>
                    <w:t>465648</w:t>
                  </w:r>
                </w:p>
              </w:tc>
              <w:tc>
                <w:tcPr>
                  <w:tcW w:w="625" w:type="pct"/>
                </w:tcPr>
                <w:p w14:paraId="3EB2F62F" w14:textId="5B48F2B6" w:rsidR="00C5393B" w:rsidRPr="00AD36B2" w:rsidRDefault="00C5393B" w:rsidP="00C5393B">
                  <w:pPr>
                    <w:rPr>
                      <w:rFonts w:asciiTheme="minorHAnsi" w:hAnsiTheme="minorHAnsi" w:cstheme="minorHAnsi"/>
                    </w:rPr>
                  </w:pPr>
                  <w:r w:rsidRPr="00AD36B2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614" w:type="pct"/>
                </w:tcPr>
                <w:p w14:paraId="729B3B1E" w14:textId="099755E6" w:rsidR="00C5393B" w:rsidRPr="00AD36B2" w:rsidRDefault="00C5393B" w:rsidP="00C5393B">
                  <w:pPr>
                    <w:rPr>
                      <w:rFonts w:asciiTheme="minorHAnsi" w:hAnsiTheme="minorHAnsi" w:cstheme="minorHAnsi"/>
                    </w:rPr>
                  </w:pPr>
                  <w:r w:rsidRPr="00AD36B2">
                    <w:t>HV390</w:t>
                  </w:r>
                </w:p>
              </w:tc>
              <w:tc>
                <w:tcPr>
                  <w:tcW w:w="2640" w:type="pct"/>
                </w:tcPr>
                <w:p w14:paraId="3B0A567B" w14:textId="77777777" w:rsidR="00C5393B" w:rsidRPr="00AD36B2" w:rsidRDefault="00C5393B" w:rsidP="00C5393B">
                  <w:r w:rsidRPr="00AD36B2">
                    <w:t xml:space="preserve">Small </w:t>
                  </w:r>
                  <w:proofErr w:type="spellStart"/>
                  <w:r w:rsidRPr="00AD36B2">
                    <w:t>Pkg</w:t>
                  </w:r>
                  <w:proofErr w:type="spellEnd"/>
                  <w:r w:rsidRPr="00AD36B2">
                    <w:t xml:space="preserve"> AC system with TXV, increase refrigerant charge from Typical under-charge (4 - 50%) to factory specified level</w:t>
                  </w:r>
                </w:p>
                <w:p w14:paraId="415822F3" w14:textId="2208768B" w:rsidR="00DF780B" w:rsidRDefault="00DF780B" w:rsidP="00C5393B">
                  <w:r w:rsidRPr="00AD36B2">
                    <w:t>(</w:t>
                  </w:r>
                  <w:r w:rsidR="00102A73">
                    <w:t xml:space="preserve">DEER </w:t>
                  </w:r>
                  <w:proofErr w:type="spellStart"/>
                  <w:r w:rsidR="00102A73">
                    <w:t>MsrID</w:t>
                  </w:r>
                  <w:proofErr w:type="spellEnd"/>
                  <w:r w:rsidR="00102A73">
                    <w:t xml:space="preserve">: </w:t>
                  </w:r>
                  <w:r w:rsidRPr="00AD36B2">
                    <w:t>NE-HVAC-</w:t>
                  </w:r>
                  <w:proofErr w:type="spellStart"/>
                  <w:r w:rsidRPr="00AD36B2">
                    <w:t>RefChg</w:t>
                  </w:r>
                  <w:proofErr w:type="spellEnd"/>
                  <w:r w:rsidRPr="00AD36B2">
                    <w:t>-Inc-</w:t>
                  </w:r>
                  <w:proofErr w:type="spellStart"/>
                  <w:r w:rsidRPr="00AD36B2">
                    <w:t>Typ</w:t>
                  </w:r>
                  <w:proofErr w:type="spellEnd"/>
                  <w:r w:rsidRPr="00AD36B2">
                    <w:t>-</w:t>
                  </w:r>
                  <w:proofErr w:type="spellStart"/>
                  <w:r w:rsidRPr="00AD36B2">
                    <w:t>txv</w:t>
                  </w:r>
                  <w:proofErr w:type="spellEnd"/>
                  <w:r w:rsidRPr="00AD36B2">
                    <w:t>)</w:t>
                  </w:r>
                </w:p>
                <w:p w14:paraId="4837EA21" w14:textId="227A8A3B" w:rsidR="00102A73" w:rsidRPr="00AD36B2" w:rsidRDefault="00102A73" w:rsidP="00C5393B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(</w:t>
                  </w:r>
                  <w:r w:rsidRPr="00102A73">
                    <w:rPr>
                      <w:rFonts w:asciiTheme="minorHAnsi" w:hAnsiTheme="minorHAnsi" w:cstheme="minorHAnsi"/>
                    </w:rPr>
                    <w:t>WPSDGENRHC0022-Rev02-Msr008</w:t>
                  </w:r>
                  <w:r>
                    <w:rPr>
                      <w:rFonts w:asciiTheme="minorHAnsi" w:hAnsiTheme="minorHAnsi" w:cstheme="minorHAnsi"/>
                    </w:rPr>
                    <w:t>)</w:t>
                  </w:r>
                </w:p>
              </w:tc>
            </w:tr>
            <w:tr w:rsidR="00C5393B" w:rsidRPr="0018637F" w14:paraId="6B187AE0" w14:textId="77777777" w:rsidTr="00C5393B">
              <w:trPr>
                <w:trHeight w:val="243"/>
              </w:trPr>
              <w:tc>
                <w:tcPr>
                  <w:tcW w:w="541" w:type="pct"/>
                </w:tcPr>
                <w:p w14:paraId="207A5E4A" w14:textId="3B5C6E9C" w:rsidR="00C5393B" w:rsidRPr="0018637F" w:rsidRDefault="00DF780B" w:rsidP="00C5393B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580" w:type="pct"/>
                </w:tcPr>
                <w:p w14:paraId="783FAA6E" w14:textId="77777777" w:rsidR="00C5393B" w:rsidRDefault="00C6449C" w:rsidP="00C5393B">
                  <w:pPr>
                    <w:rPr>
                      <w:rFonts w:asciiTheme="minorHAnsi" w:hAnsiTheme="minorHAnsi" w:cstheme="minorHAnsi"/>
                    </w:rPr>
                  </w:pPr>
                  <w:r w:rsidRPr="00C6449C">
                    <w:rPr>
                      <w:rFonts w:asciiTheme="minorHAnsi" w:hAnsiTheme="minorHAnsi" w:cstheme="minorHAnsi"/>
                    </w:rPr>
                    <w:t>465649</w:t>
                  </w:r>
                </w:p>
                <w:p w14:paraId="60614613" w14:textId="0582F0CF" w:rsidR="005D20E4" w:rsidRDefault="005D20E4" w:rsidP="005D20E4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465650</w:t>
                  </w:r>
                </w:p>
                <w:p w14:paraId="118003B1" w14:textId="12D1087F" w:rsidR="00C6449C" w:rsidRPr="00AD36B2" w:rsidRDefault="00C6449C" w:rsidP="00C5393B"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625" w:type="pct"/>
                </w:tcPr>
                <w:p w14:paraId="771A69B9" w14:textId="3CEF1744" w:rsidR="00C5393B" w:rsidRPr="00AD36B2" w:rsidRDefault="00DF780B" w:rsidP="00C5393B">
                  <w:pPr>
                    <w:rPr>
                      <w:rFonts w:asciiTheme="minorHAnsi" w:hAnsiTheme="minorHAnsi" w:cstheme="minorHAnsi"/>
                    </w:rPr>
                  </w:pPr>
                  <w:r w:rsidRPr="00AD36B2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614" w:type="pct"/>
                </w:tcPr>
                <w:p w14:paraId="4B56E8E6" w14:textId="10706DB4" w:rsidR="00C5393B" w:rsidRPr="00AD36B2" w:rsidRDefault="00C5393B" w:rsidP="00C5393B">
                  <w:pPr>
                    <w:rPr>
                      <w:rFonts w:cstheme="minorHAnsi"/>
                    </w:rPr>
                  </w:pPr>
                  <w:r w:rsidRPr="00AD36B2">
                    <w:t>HV388</w:t>
                  </w:r>
                </w:p>
              </w:tc>
              <w:tc>
                <w:tcPr>
                  <w:tcW w:w="2640" w:type="pct"/>
                </w:tcPr>
                <w:p w14:paraId="495FE5EE" w14:textId="77777777" w:rsidR="00C5393B" w:rsidRPr="00AD36B2" w:rsidRDefault="00C5393B" w:rsidP="00C5393B">
                  <w:r w:rsidRPr="00AD36B2">
                    <w:t xml:space="preserve">Small </w:t>
                  </w:r>
                  <w:proofErr w:type="spellStart"/>
                  <w:r w:rsidRPr="00AD36B2">
                    <w:t>Pkg</w:t>
                  </w:r>
                  <w:proofErr w:type="spellEnd"/>
                  <w:r w:rsidRPr="00AD36B2">
                    <w:t xml:space="preserve"> AC system with No TXV, decrease refrigerant charge from Typical over-charge (4 - 50%) to factory specified level</w:t>
                  </w:r>
                </w:p>
                <w:p w14:paraId="269CA10A" w14:textId="665AC1B6" w:rsidR="00DF780B" w:rsidRDefault="00DF780B" w:rsidP="00C5393B">
                  <w:r w:rsidRPr="00AD36B2">
                    <w:t>(</w:t>
                  </w:r>
                  <w:r w:rsidR="00102A73">
                    <w:t xml:space="preserve">DEER </w:t>
                  </w:r>
                  <w:proofErr w:type="spellStart"/>
                  <w:r w:rsidR="00102A73">
                    <w:t>MsrID</w:t>
                  </w:r>
                  <w:proofErr w:type="spellEnd"/>
                  <w:r w:rsidR="00102A73">
                    <w:t xml:space="preserve">: </w:t>
                  </w:r>
                  <w:r w:rsidRPr="00AD36B2">
                    <w:t>NE-HVAC-</w:t>
                  </w:r>
                  <w:proofErr w:type="spellStart"/>
                  <w:r w:rsidRPr="00AD36B2">
                    <w:t>RefChg</w:t>
                  </w:r>
                  <w:proofErr w:type="spellEnd"/>
                  <w:r w:rsidRPr="00AD36B2">
                    <w:t>-Dec-</w:t>
                  </w:r>
                  <w:proofErr w:type="spellStart"/>
                  <w:r w:rsidRPr="00AD36B2">
                    <w:t>Typ</w:t>
                  </w:r>
                  <w:proofErr w:type="spellEnd"/>
                  <w:r w:rsidRPr="00AD36B2">
                    <w:t>-</w:t>
                  </w:r>
                  <w:proofErr w:type="spellStart"/>
                  <w:r w:rsidRPr="00AD36B2">
                    <w:t>ntxv</w:t>
                  </w:r>
                  <w:proofErr w:type="spellEnd"/>
                  <w:r w:rsidRPr="00AD36B2">
                    <w:t>)</w:t>
                  </w:r>
                </w:p>
                <w:p w14:paraId="6031A1C9" w14:textId="581256F3" w:rsidR="00102A73" w:rsidRPr="00AD36B2" w:rsidRDefault="00102A73" w:rsidP="00C5393B">
                  <w:r>
                    <w:t>(</w:t>
                  </w:r>
                  <w:r w:rsidRPr="00102A73">
                    <w:t>WPSDGENRHC0022-Rev02-Msr001</w:t>
                  </w:r>
                  <w:r>
                    <w:t>)</w:t>
                  </w:r>
                </w:p>
              </w:tc>
            </w:tr>
            <w:tr w:rsidR="00C5393B" w:rsidRPr="0018637F" w14:paraId="503644E1" w14:textId="77777777" w:rsidTr="00C5393B">
              <w:trPr>
                <w:trHeight w:val="243"/>
              </w:trPr>
              <w:tc>
                <w:tcPr>
                  <w:tcW w:w="541" w:type="pct"/>
                </w:tcPr>
                <w:p w14:paraId="49546C73" w14:textId="640C2785" w:rsidR="00C5393B" w:rsidRPr="0018637F" w:rsidRDefault="00DF780B" w:rsidP="00C5393B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580" w:type="pct"/>
                </w:tcPr>
                <w:p w14:paraId="6DDF5596" w14:textId="77777777" w:rsidR="00C5393B" w:rsidRDefault="000815F4" w:rsidP="00C5393B">
                  <w:pPr>
                    <w:rPr>
                      <w:rFonts w:asciiTheme="minorHAnsi" w:hAnsiTheme="minorHAnsi" w:cstheme="minorHAnsi"/>
                    </w:rPr>
                  </w:pPr>
                  <w:r w:rsidRPr="000815F4">
                    <w:rPr>
                      <w:rFonts w:asciiTheme="minorHAnsi" w:hAnsiTheme="minorHAnsi" w:cstheme="minorHAnsi"/>
                    </w:rPr>
                    <w:t>465651</w:t>
                  </w:r>
                </w:p>
                <w:p w14:paraId="46D14135" w14:textId="33DF5988" w:rsidR="00FE7645" w:rsidRPr="00AD36B2" w:rsidRDefault="00FE7645" w:rsidP="00C5393B">
                  <w:pPr>
                    <w:rPr>
                      <w:rFonts w:asciiTheme="minorHAnsi" w:hAnsiTheme="minorHAnsi" w:cstheme="minorHAnsi"/>
                    </w:rPr>
                  </w:pPr>
                  <w:r w:rsidRPr="00FE7645">
                    <w:rPr>
                      <w:rFonts w:asciiTheme="minorHAnsi" w:hAnsiTheme="minorHAnsi" w:cstheme="minorHAnsi"/>
                    </w:rPr>
                    <w:t>465652</w:t>
                  </w:r>
                </w:p>
              </w:tc>
              <w:tc>
                <w:tcPr>
                  <w:tcW w:w="625" w:type="pct"/>
                </w:tcPr>
                <w:p w14:paraId="64BF6864" w14:textId="4154F2C8" w:rsidR="00C5393B" w:rsidRPr="00AD36B2" w:rsidRDefault="00DF780B" w:rsidP="00C5393B">
                  <w:pPr>
                    <w:rPr>
                      <w:rFonts w:asciiTheme="minorHAnsi" w:hAnsiTheme="minorHAnsi" w:cstheme="minorHAnsi"/>
                    </w:rPr>
                  </w:pPr>
                  <w:r w:rsidRPr="00AD36B2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614" w:type="pct"/>
                </w:tcPr>
                <w:p w14:paraId="1E14B1E0" w14:textId="1402C068" w:rsidR="00C5393B" w:rsidRPr="00AD36B2" w:rsidRDefault="00C5393B" w:rsidP="00C5393B">
                  <w:pPr>
                    <w:rPr>
                      <w:rFonts w:cstheme="minorHAnsi"/>
                    </w:rPr>
                  </w:pPr>
                  <w:r w:rsidRPr="00AD36B2">
                    <w:t>HV389</w:t>
                  </w:r>
                </w:p>
              </w:tc>
              <w:tc>
                <w:tcPr>
                  <w:tcW w:w="2640" w:type="pct"/>
                </w:tcPr>
                <w:p w14:paraId="18A47E66" w14:textId="77777777" w:rsidR="00C5393B" w:rsidRPr="00AD36B2" w:rsidRDefault="00C5393B" w:rsidP="00C5393B">
                  <w:r w:rsidRPr="00AD36B2">
                    <w:t xml:space="preserve">Small </w:t>
                  </w:r>
                  <w:proofErr w:type="spellStart"/>
                  <w:r w:rsidRPr="00AD36B2">
                    <w:t>Pkg</w:t>
                  </w:r>
                  <w:proofErr w:type="spellEnd"/>
                  <w:r w:rsidRPr="00AD36B2">
                    <w:t xml:space="preserve"> AC system with TXV, decrease refrigerant charge from Typical over-charge (4 - 50%) to factory specified level</w:t>
                  </w:r>
                </w:p>
                <w:p w14:paraId="1B816EC8" w14:textId="77777777" w:rsidR="00DF780B" w:rsidRDefault="00DF780B" w:rsidP="00C5393B">
                  <w:r w:rsidRPr="00AD36B2">
                    <w:t>(</w:t>
                  </w:r>
                  <w:r w:rsidR="00102A73">
                    <w:t xml:space="preserve">DEER </w:t>
                  </w:r>
                  <w:proofErr w:type="spellStart"/>
                  <w:r w:rsidR="00102A73">
                    <w:t>MsrID</w:t>
                  </w:r>
                  <w:proofErr w:type="spellEnd"/>
                  <w:r w:rsidR="00102A73">
                    <w:t xml:space="preserve">: </w:t>
                  </w:r>
                  <w:r w:rsidRPr="00AD36B2">
                    <w:t>NE-HVAC-</w:t>
                  </w:r>
                  <w:proofErr w:type="spellStart"/>
                  <w:r w:rsidRPr="00AD36B2">
                    <w:t>RefChg</w:t>
                  </w:r>
                  <w:proofErr w:type="spellEnd"/>
                  <w:r w:rsidRPr="00AD36B2">
                    <w:t>-Dec-</w:t>
                  </w:r>
                  <w:proofErr w:type="spellStart"/>
                  <w:r w:rsidRPr="00AD36B2">
                    <w:t>Typ</w:t>
                  </w:r>
                  <w:proofErr w:type="spellEnd"/>
                  <w:r w:rsidRPr="00AD36B2">
                    <w:t>-</w:t>
                  </w:r>
                  <w:proofErr w:type="spellStart"/>
                  <w:r w:rsidRPr="00AD36B2">
                    <w:t>txv</w:t>
                  </w:r>
                  <w:proofErr w:type="spellEnd"/>
                  <w:r w:rsidRPr="00AD36B2">
                    <w:t>)</w:t>
                  </w:r>
                </w:p>
                <w:p w14:paraId="1AF8A748" w14:textId="3B3993D6" w:rsidR="00102A73" w:rsidRPr="00AD36B2" w:rsidRDefault="00102A73" w:rsidP="00C5393B">
                  <w:r>
                    <w:t>(</w:t>
                  </w:r>
                  <w:r w:rsidRPr="00102A73">
                    <w:t>WPSDGENRHC0022-Rev02-Msr002</w:t>
                  </w:r>
                  <w:r>
                    <w:t>)</w:t>
                  </w:r>
                </w:p>
              </w:tc>
            </w:tr>
            <w:tr w:rsidR="00DF780B" w:rsidRPr="0018637F" w14:paraId="3A4A5378" w14:textId="77777777" w:rsidTr="00C5393B">
              <w:trPr>
                <w:trHeight w:val="243"/>
              </w:trPr>
              <w:tc>
                <w:tcPr>
                  <w:tcW w:w="541" w:type="pct"/>
                </w:tcPr>
                <w:p w14:paraId="77D99A4B" w14:textId="41BF57F1" w:rsidR="00DF780B" w:rsidRPr="0018637F" w:rsidRDefault="00DF780B" w:rsidP="00DF780B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580" w:type="pct"/>
                </w:tcPr>
                <w:p w14:paraId="47D3DBE5" w14:textId="77777777" w:rsidR="00734C31" w:rsidRDefault="003279DB" w:rsidP="00DF780B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465653</w:t>
                  </w:r>
                </w:p>
                <w:p w14:paraId="720128B4" w14:textId="2CA4C2D9" w:rsidR="00DF780B" w:rsidRPr="00AD36B2" w:rsidRDefault="003279DB" w:rsidP="00DF780B">
                  <w:pPr>
                    <w:rPr>
                      <w:rFonts w:asciiTheme="minorHAnsi" w:hAnsiTheme="minorHAnsi" w:cstheme="minorHAnsi"/>
                    </w:rPr>
                  </w:pPr>
                  <w:r w:rsidRPr="003279DB">
                    <w:rPr>
                      <w:rFonts w:asciiTheme="minorHAnsi" w:hAnsiTheme="minorHAnsi" w:cstheme="minorHAnsi"/>
                    </w:rPr>
                    <w:t>465654</w:t>
                  </w:r>
                </w:p>
              </w:tc>
              <w:tc>
                <w:tcPr>
                  <w:tcW w:w="625" w:type="pct"/>
                </w:tcPr>
                <w:p w14:paraId="31836C2A" w14:textId="483A7B44" w:rsidR="00DF780B" w:rsidRPr="00AD36B2" w:rsidRDefault="00DF780B" w:rsidP="00DF780B">
                  <w:pPr>
                    <w:rPr>
                      <w:rFonts w:asciiTheme="minorHAnsi" w:hAnsiTheme="minorHAnsi" w:cstheme="minorHAnsi"/>
                    </w:rPr>
                  </w:pPr>
                  <w:r w:rsidRPr="00AD36B2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614" w:type="pct"/>
                </w:tcPr>
                <w:p w14:paraId="19D95AF5" w14:textId="4ECDBED9" w:rsidR="00DF780B" w:rsidRPr="00AD36B2" w:rsidRDefault="00DF780B" w:rsidP="00DF780B">
                  <w:pPr>
                    <w:rPr>
                      <w:rFonts w:cstheme="minorHAnsi"/>
                    </w:rPr>
                  </w:pPr>
                  <w:r w:rsidRPr="00AD36B2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2640" w:type="pct"/>
                </w:tcPr>
                <w:p w14:paraId="5EFFF5CA" w14:textId="45EBA86B" w:rsidR="00AD36B2" w:rsidRPr="00AD36B2" w:rsidRDefault="00AD36B2" w:rsidP="00AD36B2">
                  <w:pPr>
                    <w:rPr>
                      <w:rFonts w:cs="Calibri"/>
                      <w:color w:val="000000"/>
                    </w:rPr>
                  </w:pPr>
                  <w:r w:rsidRPr="00AD36B2">
                    <w:rPr>
                      <w:rFonts w:cs="Calibri"/>
                      <w:color w:val="000000"/>
                    </w:rPr>
                    <w:t xml:space="preserve">Small </w:t>
                  </w:r>
                  <w:proofErr w:type="spellStart"/>
                  <w:r w:rsidRPr="00AD36B2">
                    <w:rPr>
                      <w:rFonts w:cs="Calibri"/>
                      <w:color w:val="000000"/>
                    </w:rPr>
                    <w:t>Pkg</w:t>
                  </w:r>
                  <w:proofErr w:type="spellEnd"/>
                  <w:r w:rsidRPr="00AD36B2">
                    <w:rPr>
                      <w:rFonts w:cs="Calibri"/>
                      <w:color w:val="000000"/>
                    </w:rPr>
                    <w:t xml:space="preserve"> AC no TXV (unde</w:t>
                  </w:r>
                  <w:r>
                    <w:rPr>
                      <w:rFonts w:cs="Calibri"/>
                      <w:color w:val="000000"/>
                    </w:rPr>
                    <w:t xml:space="preserve">rcharged between 10% and 50%), </w:t>
                  </w:r>
                  <w:r w:rsidRPr="00AD36B2">
                    <w:rPr>
                      <w:rFonts w:cs="Calibri"/>
                      <w:color w:val="000000"/>
                    </w:rPr>
                    <w:t>adjust refrigerant charge to factory specified level</w:t>
                  </w:r>
                </w:p>
                <w:p w14:paraId="74915CB2" w14:textId="77777777" w:rsidR="00DF780B" w:rsidRDefault="00C27A2A" w:rsidP="00DF780B">
                  <w:r>
                    <w:t>(</w:t>
                  </w:r>
                  <w:r w:rsidR="00102A73">
                    <w:t xml:space="preserve">DEER </w:t>
                  </w:r>
                  <w:proofErr w:type="spellStart"/>
                  <w:r w:rsidR="00102A73">
                    <w:t>MsrID</w:t>
                  </w:r>
                  <w:proofErr w:type="spellEnd"/>
                  <w:r w:rsidR="00102A73">
                    <w:t xml:space="preserve">: </w:t>
                  </w:r>
                  <w:r w:rsidR="00AD36B2" w:rsidRPr="00AD36B2">
                    <w:t>NE-HVAC-</w:t>
                  </w:r>
                  <w:proofErr w:type="spellStart"/>
                  <w:r w:rsidR="00AD36B2" w:rsidRPr="00AD36B2">
                    <w:t>RefChg</w:t>
                  </w:r>
                  <w:proofErr w:type="spellEnd"/>
                  <w:r w:rsidR="00AD36B2" w:rsidRPr="00AD36B2">
                    <w:t>-Inc-High-</w:t>
                  </w:r>
                  <w:proofErr w:type="spellStart"/>
                  <w:r w:rsidR="00AD36B2" w:rsidRPr="00AD36B2">
                    <w:t>ntxv</w:t>
                  </w:r>
                  <w:proofErr w:type="spellEnd"/>
                  <w:r>
                    <w:t>)</w:t>
                  </w:r>
                </w:p>
                <w:p w14:paraId="4283185C" w14:textId="18853A06" w:rsidR="00102A73" w:rsidRPr="00AD36B2" w:rsidRDefault="00102A73" w:rsidP="00DF780B">
                  <w:r>
                    <w:t>(</w:t>
                  </w:r>
                  <w:r w:rsidRPr="00102A73">
                    <w:t>WPSDGENRHC0022-Rev02-Msr003</w:t>
                  </w:r>
                  <w:r>
                    <w:t>)</w:t>
                  </w:r>
                </w:p>
              </w:tc>
            </w:tr>
            <w:tr w:rsidR="00DF780B" w:rsidRPr="0018637F" w14:paraId="7BEB6D18" w14:textId="77777777" w:rsidTr="00C5393B">
              <w:trPr>
                <w:trHeight w:val="243"/>
              </w:trPr>
              <w:tc>
                <w:tcPr>
                  <w:tcW w:w="541" w:type="pct"/>
                </w:tcPr>
                <w:p w14:paraId="4D49CF56" w14:textId="520FEE47" w:rsidR="00DF780B" w:rsidRPr="0018637F" w:rsidRDefault="00DF780B" w:rsidP="00DF780B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580" w:type="pct"/>
                </w:tcPr>
                <w:p w14:paraId="39BBD4F9" w14:textId="77777777" w:rsidR="00DF780B" w:rsidRDefault="008A4682" w:rsidP="00DF780B">
                  <w:pPr>
                    <w:rPr>
                      <w:rFonts w:asciiTheme="minorHAnsi" w:hAnsiTheme="minorHAnsi" w:cstheme="minorHAnsi"/>
                    </w:rPr>
                  </w:pPr>
                  <w:r w:rsidRPr="008A4682">
                    <w:rPr>
                      <w:rFonts w:asciiTheme="minorHAnsi" w:hAnsiTheme="minorHAnsi" w:cstheme="minorHAnsi"/>
                    </w:rPr>
                    <w:t>465655</w:t>
                  </w:r>
                </w:p>
                <w:p w14:paraId="23A3E837" w14:textId="0C36F0BA" w:rsidR="008A4682" w:rsidRPr="00AD36B2" w:rsidRDefault="008A4682" w:rsidP="00DF780B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465656</w:t>
                  </w:r>
                </w:p>
              </w:tc>
              <w:tc>
                <w:tcPr>
                  <w:tcW w:w="625" w:type="pct"/>
                </w:tcPr>
                <w:p w14:paraId="621054E1" w14:textId="0697B3B4" w:rsidR="00DF780B" w:rsidRPr="00AD36B2" w:rsidRDefault="00DF780B" w:rsidP="00DF780B">
                  <w:pPr>
                    <w:rPr>
                      <w:rFonts w:asciiTheme="minorHAnsi" w:hAnsiTheme="minorHAnsi" w:cstheme="minorHAnsi"/>
                    </w:rPr>
                  </w:pPr>
                  <w:r w:rsidRPr="00AD36B2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614" w:type="pct"/>
                </w:tcPr>
                <w:p w14:paraId="27951FD8" w14:textId="461F6891" w:rsidR="00DF780B" w:rsidRPr="00AD36B2" w:rsidRDefault="00DF780B" w:rsidP="00DF780B">
                  <w:pPr>
                    <w:rPr>
                      <w:rFonts w:cstheme="minorHAnsi"/>
                    </w:rPr>
                  </w:pPr>
                  <w:r w:rsidRPr="00AD36B2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2640" w:type="pct"/>
                </w:tcPr>
                <w:p w14:paraId="45144645" w14:textId="7888CB0B" w:rsidR="00AD36B2" w:rsidRPr="00AD36B2" w:rsidRDefault="00AD36B2" w:rsidP="00AD36B2">
                  <w:pPr>
                    <w:rPr>
                      <w:rFonts w:cs="Calibri"/>
                      <w:color w:val="000000"/>
                    </w:rPr>
                  </w:pPr>
                  <w:r w:rsidRPr="00AD36B2">
                    <w:rPr>
                      <w:rFonts w:cs="Calibri"/>
                      <w:color w:val="000000"/>
                    </w:rPr>
                    <w:t xml:space="preserve">Small </w:t>
                  </w:r>
                  <w:proofErr w:type="spellStart"/>
                  <w:r w:rsidRPr="00AD36B2">
                    <w:rPr>
                      <w:rFonts w:cs="Calibri"/>
                      <w:color w:val="000000"/>
                    </w:rPr>
                    <w:t>Pkg</w:t>
                  </w:r>
                  <w:proofErr w:type="spellEnd"/>
                  <w:r w:rsidRPr="00AD36B2">
                    <w:rPr>
                      <w:rFonts w:cs="Calibri"/>
                      <w:color w:val="000000"/>
                    </w:rPr>
                    <w:t xml:space="preserve"> AC w/ TXV (unde</w:t>
                  </w:r>
                  <w:r>
                    <w:rPr>
                      <w:rFonts w:cs="Calibri"/>
                      <w:color w:val="000000"/>
                    </w:rPr>
                    <w:t xml:space="preserve">rcharged between 10% and 50%), </w:t>
                  </w:r>
                  <w:r w:rsidRPr="00AD36B2">
                    <w:rPr>
                      <w:rFonts w:cs="Calibri"/>
                      <w:color w:val="000000"/>
                    </w:rPr>
                    <w:t>adjust refrigerant charge to factory specified level</w:t>
                  </w:r>
                </w:p>
                <w:p w14:paraId="0A5521E3" w14:textId="77777777" w:rsidR="00DF780B" w:rsidRDefault="00C27A2A" w:rsidP="00DF780B">
                  <w:r>
                    <w:t>(</w:t>
                  </w:r>
                  <w:r w:rsidR="00102A73">
                    <w:t xml:space="preserve">DEER </w:t>
                  </w:r>
                  <w:proofErr w:type="spellStart"/>
                  <w:r w:rsidR="00102A73">
                    <w:t>MsrID</w:t>
                  </w:r>
                  <w:proofErr w:type="spellEnd"/>
                  <w:r w:rsidR="00102A73">
                    <w:t xml:space="preserve">: </w:t>
                  </w:r>
                  <w:r w:rsidR="00AD36B2" w:rsidRPr="00AD36B2">
                    <w:t>NE-HVAC-</w:t>
                  </w:r>
                  <w:proofErr w:type="spellStart"/>
                  <w:r w:rsidR="00AD36B2" w:rsidRPr="00AD36B2">
                    <w:t>RefChg</w:t>
                  </w:r>
                  <w:proofErr w:type="spellEnd"/>
                  <w:r w:rsidR="00AD36B2" w:rsidRPr="00AD36B2">
                    <w:t>-Inc-High-</w:t>
                  </w:r>
                  <w:proofErr w:type="spellStart"/>
                  <w:r w:rsidR="00AD36B2" w:rsidRPr="00AD36B2">
                    <w:t>txv</w:t>
                  </w:r>
                  <w:proofErr w:type="spellEnd"/>
                  <w:r>
                    <w:t>)</w:t>
                  </w:r>
                </w:p>
                <w:p w14:paraId="1EF36EB9" w14:textId="251A5117" w:rsidR="00102A73" w:rsidRPr="00AD36B2" w:rsidRDefault="00102A73" w:rsidP="00DF780B">
                  <w:r>
                    <w:t>(</w:t>
                  </w:r>
                  <w:r w:rsidRPr="00102A73">
                    <w:t>WPSDGENRHC0022-Rev02-Msr004</w:t>
                  </w:r>
                  <w:r>
                    <w:t>)</w:t>
                  </w:r>
                </w:p>
              </w:tc>
            </w:tr>
            <w:tr w:rsidR="00DF780B" w:rsidRPr="0018637F" w14:paraId="0D949787" w14:textId="77777777" w:rsidTr="00C5393B">
              <w:trPr>
                <w:trHeight w:val="243"/>
              </w:trPr>
              <w:tc>
                <w:tcPr>
                  <w:tcW w:w="541" w:type="pct"/>
                </w:tcPr>
                <w:p w14:paraId="19D0E80C" w14:textId="48350ADC" w:rsidR="00DF780B" w:rsidRPr="0018637F" w:rsidRDefault="00DF780B" w:rsidP="00DF780B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580" w:type="pct"/>
                </w:tcPr>
                <w:p w14:paraId="1042EFAC" w14:textId="77777777" w:rsidR="00DF780B" w:rsidRDefault="00125D9E" w:rsidP="00DF780B">
                  <w:pPr>
                    <w:rPr>
                      <w:rFonts w:asciiTheme="minorHAnsi" w:hAnsiTheme="minorHAnsi" w:cstheme="minorHAnsi"/>
                    </w:rPr>
                  </w:pPr>
                  <w:r w:rsidRPr="00125D9E">
                    <w:rPr>
                      <w:rFonts w:asciiTheme="minorHAnsi" w:hAnsiTheme="minorHAnsi" w:cstheme="minorHAnsi"/>
                    </w:rPr>
                    <w:t>465657</w:t>
                  </w:r>
                </w:p>
                <w:p w14:paraId="7E62D7DE" w14:textId="605ED97D" w:rsidR="00125D9E" w:rsidRPr="00AD36B2" w:rsidRDefault="00125D9E" w:rsidP="00DF780B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465658</w:t>
                  </w:r>
                </w:p>
              </w:tc>
              <w:tc>
                <w:tcPr>
                  <w:tcW w:w="625" w:type="pct"/>
                </w:tcPr>
                <w:p w14:paraId="310052BD" w14:textId="04D5A542" w:rsidR="00DF780B" w:rsidRPr="00AD36B2" w:rsidRDefault="00DF780B" w:rsidP="00DF780B">
                  <w:pPr>
                    <w:rPr>
                      <w:rFonts w:asciiTheme="minorHAnsi" w:hAnsiTheme="minorHAnsi" w:cstheme="minorHAnsi"/>
                    </w:rPr>
                  </w:pPr>
                  <w:r w:rsidRPr="00AD36B2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614" w:type="pct"/>
                </w:tcPr>
                <w:p w14:paraId="7472F67F" w14:textId="3DFB656F" w:rsidR="00DF780B" w:rsidRPr="00AD36B2" w:rsidRDefault="00DF780B" w:rsidP="00DF780B">
                  <w:pPr>
                    <w:rPr>
                      <w:rFonts w:cstheme="minorHAnsi"/>
                    </w:rPr>
                  </w:pPr>
                  <w:r w:rsidRPr="00AD36B2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2640" w:type="pct"/>
                </w:tcPr>
                <w:p w14:paraId="6ED1F569" w14:textId="30D5B859" w:rsidR="00AD36B2" w:rsidRPr="00AD36B2" w:rsidRDefault="00AD36B2" w:rsidP="00AD36B2">
                  <w:pPr>
                    <w:rPr>
                      <w:rFonts w:cs="Calibri"/>
                      <w:color w:val="000000"/>
                    </w:rPr>
                  </w:pPr>
                  <w:r w:rsidRPr="00AD36B2">
                    <w:rPr>
                      <w:rFonts w:cs="Calibri"/>
                      <w:color w:val="000000"/>
                    </w:rPr>
                    <w:t xml:space="preserve">Small </w:t>
                  </w:r>
                  <w:proofErr w:type="spellStart"/>
                  <w:r w:rsidRPr="00AD36B2">
                    <w:rPr>
                      <w:rFonts w:cs="Calibri"/>
                      <w:color w:val="000000"/>
                    </w:rPr>
                    <w:t>Pkg</w:t>
                  </w:r>
                  <w:proofErr w:type="spellEnd"/>
                  <w:r w:rsidRPr="00AD36B2">
                    <w:rPr>
                      <w:rFonts w:cs="Calibri"/>
                      <w:color w:val="000000"/>
                    </w:rPr>
                    <w:t xml:space="preserve"> AC no TXV (un</w:t>
                  </w:r>
                  <w:r>
                    <w:rPr>
                      <w:rFonts w:cs="Calibri"/>
                      <w:color w:val="000000"/>
                    </w:rPr>
                    <w:t xml:space="preserve">dercharged between 4% and 5%), </w:t>
                  </w:r>
                  <w:r w:rsidRPr="00AD36B2">
                    <w:rPr>
                      <w:rFonts w:cs="Calibri"/>
                      <w:color w:val="000000"/>
                    </w:rPr>
                    <w:t>adjust refrigerant charge to factory specified level</w:t>
                  </w:r>
                </w:p>
                <w:p w14:paraId="53D43993" w14:textId="77777777" w:rsidR="00DF780B" w:rsidRDefault="00C27A2A" w:rsidP="00DF780B">
                  <w:r>
                    <w:t>(</w:t>
                  </w:r>
                  <w:r w:rsidR="00102A73">
                    <w:t xml:space="preserve">DEER </w:t>
                  </w:r>
                  <w:proofErr w:type="spellStart"/>
                  <w:r w:rsidR="00102A73">
                    <w:t>MsrID</w:t>
                  </w:r>
                  <w:proofErr w:type="spellEnd"/>
                  <w:r w:rsidR="00102A73">
                    <w:t xml:space="preserve">: </w:t>
                  </w:r>
                  <w:r w:rsidR="00AD36B2" w:rsidRPr="00AD36B2">
                    <w:t>NE-HVAC-</w:t>
                  </w:r>
                  <w:proofErr w:type="spellStart"/>
                  <w:r w:rsidR="00AD36B2" w:rsidRPr="00AD36B2">
                    <w:t>RefChg</w:t>
                  </w:r>
                  <w:proofErr w:type="spellEnd"/>
                  <w:r w:rsidR="00AD36B2" w:rsidRPr="00AD36B2">
                    <w:t>-Inc-Low-</w:t>
                  </w:r>
                  <w:proofErr w:type="spellStart"/>
                  <w:r w:rsidR="00AD36B2" w:rsidRPr="00AD36B2">
                    <w:t>ntxv</w:t>
                  </w:r>
                  <w:proofErr w:type="spellEnd"/>
                  <w:r>
                    <w:t>)</w:t>
                  </w:r>
                </w:p>
                <w:p w14:paraId="79675E2B" w14:textId="64945F46" w:rsidR="00102A73" w:rsidRPr="00AD36B2" w:rsidRDefault="00102A73" w:rsidP="00DF780B">
                  <w:r>
                    <w:t>(WPSDGENRHC0022-Rev02-Msr005)</w:t>
                  </w:r>
                </w:p>
              </w:tc>
            </w:tr>
            <w:tr w:rsidR="00DF780B" w:rsidRPr="0018637F" w14:paraId="0A2F51BD" w14:textId="77777777" w:rsidTr="00C5393B">
              <w:trPr>
                <w:trHeight w:val="243"/>
              </w:trPr>
              <w:tc>
                <w:tcPr>
                  <w:tcW w:w="541" w:type="pct"/>
                </w:tcPr>
                <w:p w14:paraId="1B638E24" w14:textId="35EE776F" w:rsidR="00DF780B" w:rsidRPr="0018637F" w:rsidRDefault="00DF780B" w:rsidP="00DF780B">
                  <w:pPr>
                    <w:rPr>
                      <w:rFonts w:asciiTheme="minorHAnsi" w:hAnsiTheme="minorHAnsi" w:cstheme="minorHAnsi"/>
                    </w:rPr>
                  </w:pPr>
                  <w:r w:rsidRPr="0018637F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580" w:type="pct"/>
                </w:tcPr>
                <w:p w14:paraId="2C487139" w14:textId="77777777" w:rsidR="00DF780B" w:rsidRDefault="0077685A" w:rsidP="00DF780B">
                  <w:pPr>
                    <w:rPr>
                      <w:rFonts w:asciiTheme="minorHAnsi" w:hAnsiTheme="minorHAnsi" w:cstheme="minorHAnsi"/>
                    </w:rPr>
                  </w:pPr>
                  <w:r w:rsidRPr="0077685A">
                    <w:rPr>
                      <w:rFonts w:asciiTheme="minorHAnsi" w:hAnsiTheme="minorHAnsi" w:cstheme="minorHAnsi"/>
                    </w:rPr>
                    <w:t>465659</w:t>
                  </w:r>
                </w:p>
                <w:p w14:paraId="5550CB2D" w14:textId="09AF195F" w:rsidR="00734C31" w:rsidRPr="00AD36B2" w:rsidRDefault="00734C31" w:rsidP="00DF780B">
                  <w:pPr>
                    <w:rPr>
                      <w:rFonts w:asciiTheme="minorHAnsi" w:hAnsiTheme="minorHAnsi" w:cstheme="minorHAnsi"/>
                    </w:rPr>
                  </w:pPr>
                  <w:r w:rsidRPr="00734C31">
                    <w:rPr>
                      <w:rFonts w:asciiTheme="minorHAnsi" w:hAnsiTheme="minorHAnsi" w:cstheme="minorHAnsi"/>
                    </w:rPr>
                    <w:t>465660</w:t>
                  </w:r>
                </w:p>
              </w:tc>
              <w:tc>
                <w:tcPr>
                  <w:tcW w:w="625" w:type="pct"/>
                </w:tcPr>
                <w:p w14:paraId="178F5DDC" w14:textId="1331968B" w:rsidR="00DF780B" w:rsidRPr="00AD36B2" w:rsidRDefault="00DF780B" w:rsidP="00DF780B">
                  <w:pPr>
                    <w:rPr>
                      <w:rFonts w:asciiTheme="minorHAnsi" w:hAnsiTheme="minorHAnsi" w:cstheme="minorHAnsi"/>
                    </w:rPr>
                  </w:pPr>
                  <w:r w:rsidRPr="00AD36B2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614" w:type="pct"/>
                </w:tcPr>
                <w:p w14:paraId="72107299" w14:textId="706F163C" w:rsidR="00DF780B" w:rsidRPr="00AD36B2" w:rsidRDefault="00DF780B" w:rsidP="00DF780B">
                  <w:pPr>
                    <w:rPr>
                      <w:rFonts w:cstheme="minorHAnsi"/>
                    </w:rPr>
                  </w:pPr>
                  <w:r w:rsidRPr="00AD36B2">
                    <w:rPr>
                      <w:rFonts w:asciiTheme="minorHAnsi" w:hAnsiTheme="minorHAnsi" w:cstheme="minorHAnsi"/>
                    </w:rPr>
                    <w:t>N/A</w:t>
                  </w:r>
                </w:p>
              </w:tc>
              <w:tc>
                <w:tcPr>
                  <w:tcW w:w="2640" w:type="pct"/>
                </w:tcPr>
                <w:p w14:paraId="0492DE5C" w14:textId="3B9F1CB9" w:rsidR="00AD36B2" w:rsidRPr="00AD36B2" w:rsidRDefault="00AD36B2" w:rsidP="00AD36B2">
                  <w:pPr>
                    <w:rPr>
                      <w:rFonts w:cs="Calibri"/>
                      <w:color w:val="000000"/>
                    </w:rPr>
                  </w:pPr>
                  <w:r w:rsidRPr="00AD36B2">
                    <w:rPr>
                      <w:rFonts w:cs="Calibri"/>
                      <w:color w:val="000000"/>
                    </w:rPr>
                    <w:t xml:space="preserve">Small </w:t>
                  </w:r>
                  <w:proofErr w:type="spellStart"/>
                  <w:r w:rsidRPr="00AD36B2">
                    <w:rPr>
                      <w:rFonts w:cs="Calibri"/>
                      <w:color w:val="000000"/>
                    </w:rPr>
                    <w:t>Pkg</w:t>
                  </w:r>
                  <w:proofErr w:type="spellEnd"/>
                  <w:r w:rsidRPr="00AD36B2">
                    <w:rPr>
                      <w:rFonts w:cs="Calibri"/>
                      <w:color w:val="000000"/>
                    </w:rPr>
                    <w:t xml:space="preserve"> AC w/ TXV (un</w:t>
                  </w:r>
                  <w:r>
                    <w:rPr>
                      <w:rFonts w:cs="Calibri"/>
                      <w:color w:val="000000"/>
                    </w:rPr>
                    <w:t xml:space="preserve">dercharged between 4% and 5%), </w:t>
                  </w:r>
                  <w:r w:rsidRPr="00AD36B2">
                    <w:rPr>
                      <w:rFonts w:cs="Calibri"/>
                      <w:color w:val="000000"/>
                    </w:rPr>
                    <w:t>adjust refrigerant charge to factory specified level</w:t>
                  </w:r>
                </w:p>
                <w:p w14:paraId="3EEC7D27" w14:textId="77777777" w:rsidR="00DF780B" w:rsidRDefault="00C27A2A" w:rsidP="00DF780B">
                  <w:r>
                    <w:t>(</w:t>
                  </w:r>
                  <w:r w:rsidR="00102A73">
                    <w:t xml:space="preserve">DEER </w:t>
                  </w:r>
                  <w:proofErr w:type="spellStart"/>
                  <w:r w:rsidR="00102A73">
                    <w:t>MsrID</w:t>
                  </w:r>
                  <w:proofErr w:type="spellEnd"/>
                  <w:r w:rsidR="00102A73">
                    <w:t xml:space="preserve">: </w:t>
                  </w:r>
                  <w:r w:rsidR="00AD36B2" w:rsidRPr="00AD36B2">
                    <w:t>NE-HVAC-</w:t>
                  </w:r>
                  <w:proofErr w:type="spellStart"/>
                  <w:r w:rsidR="00AD36B2" w:rsidRPr="00AD36B2">
                    <w:t>RefChg</w:t>
                  </w:r>
                  <w:proofErr w:type="spellEnd"/>
                  <w:r w:rsidR="00AD36B2" w:rsidRPr="00AD36B2">
                    <w:t>-Inc-Low-</w:t>
                  </w:r>
                  <w:proofErr w:type="spellStart"/>
                  <w:r w:rsidR="00AD36B2" w:rsidRPr="00AD36B2">
                    <w:t>txv</w:t>
                  </w:r>
                  <w:proofErr w:type="spellEnd"/>
                  <w:r>
                    <w:t>)</w:t>
                  </w:r>
                </w:p>
                <w:p w14:paraId="7C0941D4" w14:textId="64B8B70A" w:rsidR="00102A73" w:rsidRPr="00AD36B2" w:rsidRDefault="00102A73" w:rsidP="00DF780B">
                  <w:r>
                    <w:t>(WPSDGENRHC0022-Rev02-Msr006)</w:t>
                  </w:r>
                </w:p>
              </w:tc>
            </w:tr>
          </w:tbl>
          <w:p w14:paraId="205D9A18" w14:textId="6117835D" w:rsidR="004D4511" w:rsidRPr="0018637F" w:rsidRDefault="003115FE" w:rsidP="004D45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Note: SDG&amp;E has two measure codes per measure to account for each available delivery type (Direct Install </w:t>
            </w:r>
            <w:r w:rsidRPr="003115FE">
              <w:rPr>
                <w:rFonts w:asciiTheme="minorHAnsi" w:hAnsiTheme="minorHAnsi" w:cstheme="minorHAnsi"/>
                <w:sz w:val="20"/>
                <w:szCs w:val="20"/>
              </w:rPr>
              <w:t xml:space="preserve">and </w:t>
            </w:r>
            <w:r w:rsidRPr="003115FE">
              <w:rPr>
                <w:rFonts w:cstheme="minorHAnsi"/>
                <w:sz w:val="20"/>
                <w:szCs w:val="20"/>
              </w:rPr>
              <w:t>Downstream Incentive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1FF11067" w14:textId="7A5F8D77" w:rsidR="005F021A" w:rsidRPr="00E733C7" w:rsidRDefault="005F021A" w:rsidP="005F021A">
            <w:pPr>
              <w:rPr>
                <w:rFonts w:cs="Arial"/>
                <w:sz w:val="20"/>
                <w:szCs w:val="20"/>
              </w:rPr>
            </w:pPr>
          </w:p>
        </w:tc>
      </w:tr>
      <w:tr w:rsidR="005F021A" w:rsidRPr="008775D7" w14:paraId="4A9FB8AB" w14:textId="77777777" w:rsidTr="00A844D0">
        <w:trPr>
          <w:cantSplit/>
        </w:trPr>
        <w:tc>
          <w:tcPr>
            <w:tcW w:w="2070" w:type="dxa"/>
          </w:tcPr>
          <w:p w14:paraId="22ECFA4D" w14:textId="77777777" w:rsidR="005F021A" w:rsidRPr="00653C4B" w:rsidRDefault="005F021A" w:rsidP="005F021A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8910" w:type="dxa"/>
          </w:tcPr>
          <w:p w14:paraId="50F1043E" w14:textId="45BCFA6A" w:rsidR="005F021A" w:rsidRPr="000E65D6" w:rsidRDefault="00A52998" w:rsidP="005F021A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C5393B">
              <w:rPr>
                <w:sz w:val="20"/>
                <w:szCs w:val="20"/>
              </w:rPr>
              <w:t>PGE3PHVC160 Revision 3</w:t>
            </w:r>
            <w:r>
              <w:rPr>
                <w:sz w:val="20"/>
                <w:szCs w:val="20"/>
              </w:rPr>
              <w:t xml:space="preserve"> Section 1.4.2 Codes and Standards Analysis</w:t>
            </w:r>
          </w:p>
          <w:p w14:paraId="493C8EEC" w14:textId="77777777" w:rsidR="005F021A" w:rsidRPr="000E65D6" w:rsidRDefault="005F021A" w:rsidP="005F021A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3343C9C1" w14:textId="77777777" w:rsidR="005F021A" w:rsidRPr="00653C4B" w:rsidRDefault="005F021A" w:rsidP="005F021A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F021A" w14:paraId="6B1E00C2" w14:textId="77777777" w:rsidTr="00A844D0">
        <w:trPr>
          <w:cantSplit/>
        </w:trPr>
        <w:tc>
          <w:tcPr>
            <w:tcW w:w="2070" w:type="dxa"/>
          </w:tcPr>
          <w:p w14:paraId="6C7C63DE" w14:textId="77777777" w:rsidR="005F021A" w:rsidRPr="001D77F7" w:rsidRDefault="005F021A" w:rsidP="005F021A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lastRenderedPageBreak/>
              <w:t>Requirements</w:t>
            </w:r>
          </w:p>
        </w:tc>
        <w:tc>
          <w:tcPr>
            <w:tcW w:w="8910" w:type="dxa"/>
          </w:tcPr>
          <w:p w14:paraId="6DAAE79E" w14:textId="03A9E66A" w:rsidR="00A52998" w:rsidRDefault="00A52998" w:rsidP="005F021A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C5393B">
              <w:rPr>
                <w:sz w:val="20"/>
                <w:szCs w:val="20"/>
              </w:rPr>
              <w:t>PGE3PHVC160 Revision 3</w:t>
            </w:r>
            <w:r>
              <w:rPr>
                <w:sz w:val="20"/>
                <w:szCs w:val="20"/>
              </w:rPr>
              <w:t xml:space="preserve"> Section</w:t>
            </w:r>
            <w:r w:rsidRPr="004D451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1.1 Measure Description &amp; Background.</w:t>
            </w:r>
          </w:p>
          <w:p w14:paraId="0960A363" w14:textId="77777777" w:rsidR="00A52998" w:rsidRDefault="00A52998" w:rsidP="005F021A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1287EB29" w14:textId="5DA77851" w:rsidR="005F021A" w:rsidRPr="004D4511" w:rsidRDefault="003115FE" w:rsidP="005F021A">
            <w:pPr>
              <w:jc w:val="both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Note: Contractor must be SDG&amp;E approved.</w:t>
            </w:r>
          </w:p>
          <w:p w14:paraId="03553101" w14:textId="77777777" w:rsidR="005F021A" w:rsidRDefault="005F021A" w:rsidP="005F021A">
            <w:pPr>
              <w:jc w:val="both"/>
              <w:rPr>
                <w:sz w:val="20"/>
                <w:szCs w:val="20"/>
              </w:rPr>
            </w:pPr>
          </w:p>
          <w:p w14:paraId="7645B42C" w14:textId="77777777" w:rsidR="005F021A" w:rsidRPr="00555671" w:rsidRDefault="005F021A" w:rsidP="005F021A">
            <w:pPr>
              <w:jc w:val="both"/>
              <w:rPr>
                <w:sz w:val="20"/>
                <w:szCs w:val="20"/>
              </w:rPr>
            </w:pPr>
          </w:p>
        </w:tc>
      </w:tr>
      <w:tr w:rsidR="005F021A" w14:paraId="759B9222" w14:textId="77777777" w:rsidTr="00A844D0">
        <w:trPr>
          <w:cantSplit/>
        </w:trPr>
        <w:tc>
          <w:tcPr>
            <w:tcW w:w="10980" w:type="dxa"/>
            <w:gridSpan w:val="2"/>
          </w:tcPr>
          <w:p w14:paraId="790FFE4C" w14:textId="77777777" w:rsidR="005F021A" w:rsidRPr="00D86243" w:rsidRDefault="005F021A" w:rsidP="005F021A">
            <w:pPr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</w:tr>
      <w:tr w:rsidR="005F021A" w14:paraId="5168566D" w14:textId="77777777" w:rsidTr="00A844D0">
        <w:trPr>
          <w:cantSplit/>
        </w:trPr>
        <w:tc>
          <w:tcPr>
            <w:tcW w:w="2070" w:type="dxa"/>
            <w:vAlign w:val="center"/>
          </w:tcPr>
          <w:p w14:paraId="6C420B2D" w14:textId="77777777" w:rsidR="005F021A" w:rsidRPr="00822B6F" w:rsidRDefault="005F021A" w:rsidP="005F021A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8910" w:type="dxa"/>
          </w:tcPr>
          <w:p w14:paraId="3CB39BAF" w14:textId="5782E381" w:rsidR="005F021A" w:rsidRPr="00F52060" w:rsidRDefault="00A52998" w:rsidP="005F021A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BRO-</w:t>
            </w:r>
            <w:proofErr w:type="spellStart"/>
            <w:r>
              <w:rPr>
                <w:sz w:val="20"/>
                <w:szCs w:val="20"/>
              </w:rPr>
              <w:t>RCx</w:t>
            </w:r>
            <w:proofErr w:type="spellEnd"/>
          </w:p>
        </w:tc>
      </w:tr>
      <w:tr w:rsidR="005F021A" w14:paraId="7FC5D739" w14:textId="77777777" w:rsidTr="00A844D0">
        <w:trPr>
          <w:cantSplit/>
        </w:trPr>
        <w:tc>
          <w:tcPr>
            <w:tcW w:w="2070" w:type="dxa"/>
            <w:vAlign w:val="center"/>
          </w:tcPr>
          <w:p w14:paraId="2AC862E0" w14:textId="77777777" w:rsidR="005F021A" w:rsidRPr="00822B6F" w:rsidRDefault="005F021A" w:rsidP="005F021A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8910" w:type="dxa"/>
          </w:tcPr>
          <w:p w14:paraId="720C5D8A" w14:textId="308B67FC" w:rsidR="00A52998" w:rsidRDefault="00A52998" w:rsidP="00A52998">
            <w:pPr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C5393B">
              <w:rPr>
                <w:sz w:val="20"/>
                <w:szCs w:val="20"/>
              </w:rPr>
              <w:t>PGE3PHVC160 Revision 3</w:t>
            </w:r>
            <w:r>
              <w:rPr>
                <w:sz w:val="20"/>
                <w:szCs w:val="20"/>
              </w:rPr>
              <w:t xml:space="preserve"> Section 1.3 Installation Type and Delivery Mechanisms</w:t>
            </w:r>
            <w:r w:rsidR="007A3531">
              <w:rPr>
                <w:sz w:val="20"/>
                <w:szCs w:val="20"/>
              </w:rPr>
              <w:t xml:space="preserve"> and </w:t>
            </w:r>
            <w:r w:rsidR="00A844D0">
              <w:rPr>
                <w:sz w:val="20"/>
                <w:szCs w:val="20"/>
              </w:rPr>
              <w:t xml:space="preserve">SDG&amp;E Ex-ante database table submission. </w:t>
            </w:r>
          </w:p>
          <w:p w14:paraId="6F20F99F" w14:textId="77777777" w:rsidR="00ED29ED" w:rsidRDefault="00ED29ED" w:rsidP="00A52998">
            <w:pPr>
              <w:jc w:val="both"/>
              <w:rPr>
                <w:sz w:val="20"/>
                <w:szCs w:val="20"/>
              </w:rPr>
            </w:pPr>
          </w:p>
          <w:p w14:paraId="761871CC" w14:textId="2C31CA34" w:rsidR="00A844D0" w:rsidRPr="000E65D6" w:rsidRDefault="00A844D0" w:rsidP="00A52998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D26E83D" wp14:editId="28A81A3E">
                  <wp:extent cx="4545965" cy="496570"/>
                  <wp:effectExtent l="0" t="0" r="698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5965" cy="496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85E598" w14:textId="60A34148" w:rsidR="005F021A" w:rsidRPr="00FE636E" w:rsidRDefault="005F021A" w:rsidP="005F021A">
            <w:pPr>
              <w:rPr>
                <w:rFonts w:cs="Arial"/>
                <w:sz w:val="20"/>
                <w:szCs w:val="20"/>
              </w:rPr>
            </w:pPr>
          </w:p>
        </w:tc>
      </w:tr>
      <w:tr w:rsidR="005F021A" w14:paraId="7167182E" w14:textId="77777777" w:rsidTr="00A844D0">
        <w:trPr>
          <w:cantSplit/>
        </w:trPr>
        <w:tc>
          <w:tcPr>
            <w:tcW w:w="10980" w:type="dxa"/>
            <w:gridSpan w:val="2"/>
          </w:tcPr>
          <w:p w14:paraId="63DEB232" w14:textId="54547A9F" w:rsidR="005F021A" w:rsidRDefault="00677A43" w:rsidP="005F021A">
            <w:r>
              <w:rPr>
                <w:b/>
              </w:rPr>
              <w:t>1.4</w:t>
            </w:r>
            <w:r w:rsidR="005F021A" w:rsidRPr="001D77F7">
              <w:rPr>
                <w:b/>
              </w:rPr>
              <w:t xml:space="preserve"> DEER Data</w:t>
            </w:r>
          </w:p>
        </w:tc>
      </w:tr>
      <w:tr w:rsidR="005F021A" w14:paraId="066131AC" w14:textId="77777777" w:rsidTr="00A844D0">
        <w:trPr>
          <w:cantSplit/>
        </w:trPr>
        <w:tc>
          <w:tcPr>
            <w:tcW w:w="2070" w:type="dxa"/>
            <w:vAlign w:val="center"/>
          </w:tcPr>
          <w:p w14:paraId="1B178BC2" w14:textId="77777777" w:rsidR="005F021A" w:rsidRPr="00822B6F" w:rsidRDefault="005F021A" w:rsidP="005F021A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8910" w:type="dxa"/>
          </w:tcPr>
          <w:p w14:paraId="02AA52B5" w14:textId="4227F123" w:rsidR="00677A43" w:rsidRDefault="00677A43" w:rsidP="00677A43">
            <w:pPr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C5393B">
              <w:rPr>
                <w:sz w:val="20"/>
                <w:szCs w:val="20"/>
              </w:rPr>
              <w:t>PGE3PHVC160 Revision 3</w:t>
            </w:r>
            <w:r>
              <w:rPr>
                <w:sz w:val="20"/>
                <w:szCs w:val="20"/>
              </w:rPr>
              <w:t xml:space="preserve"> Section 1.4.1 DEER Data</w:t>
            </w:r>
            <w:r w:rsidR="00BD58E3">
              <w:rPr>
                <w:sz w:val="20"/>
                <w:szCs w:val="20"/>
              </w:rPr>
              <w:t xml:space="preserve"> and SDG&amp;E Ex-ante submission.</w:t>
            </w:r>
          </w:p>
          <w:p w14:paraId="1D08361A" w14:textId="77777777" w:rsidR="00A844D0" w:rsidRDefault="00A844D0" w:rsidP="00677A43">
            <w:pPr>
              <w:jc w:val="both"/>
              <w:rPr>
                <w:sz w:val="20"/>
                <w:szCs w:val="20"/>
              </w:rPr>
            </w:pPr>
          </w:p>
          <w:p w14:paraId="26FFF2BA" w14:textId="0262F3F3" w:rsidR="00A844D0" w:rsidRPr="000E65D6" w:rsidRDefault="00A844D0" w:rsidP="00677A43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93565A7" wp14:editId="3FD572F3">
                  <wp:extent cx="5232400" cy="1360906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97086" cy="1377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D68962" w14:textId="77777777" w:rsidR="005F021A" w:rsidRPr="00D86243" w:rsidRDefault="005F021A" w:rsidP="005F021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5F021A" w14:paraId="23763F29" w14:textId="77777777" w:rsidTr="00A844D0">
        <w:trPr>
          <w:cantSplit/>
          <w:trHeight w:val="845"/>
        </w:trPr>
        <w:tc>
          <w:tcPr>
            <w:tcW w:w="2070" w:type="dxa"/>
            <w:vAlign w:val="center"/>
          </w:tcPr>
          <w:p w14:paraId="59BB4862" w14:textId="77777777" w:rsidR="005F021A" w:rsidRPr="00822B6F" w:rsidRDefault="005F021A" w:rsidP="005F021A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8910" w:type="dxa"/>
          </w:tcPr>
          <w:p w14:paraId="6C5AC123" w14:textId="115A9E24" w:rsidR="00677A43" w:rsidRDefault="00677A43" w:rsidP="00677A43">
            <w:pPr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C5393B">
              <w:rPr>
                <w:sz w:val="20"/>
                <w:szCs w:val="20"/>
              </w:rPr>
              <w:t>PGE3PHVC160 Revision 3</w:t>
            </w:r>
            <w:r>
              <w:rPr>
                <w:sz w:val="20"/>
                <w:szCs w:val="20"/>
              </w:rPr>
              <w:t xml:space="preserve"> Section 1.4.1 DEER Data</w:t>
            </w:r>
            <w:r w:rsidR="00BD58E3">
              <w:rPr>
                <w:sz w:val="20"/>
                <w:szCs w:val="20"/>
              </w:rPr>
              <w:t xml:space="preserve"> and SDG&amp;E Ex-ante submission.</w:t>
            </w:r>
          </w:p>
          <w:p w14:paraId="5C71770F" w14:textId="77777777" w:rsidR="00BD58E3" w:rsidRPr="000E65D6" w:rsidRDefault="00BD58E3" w:rsidP="00677A43">
            <w:pPr>
              <w:jc w:val="both"/>
              <w:rPr>
                <w:rFonts w:cs="Arial"/>
                <w:sz w:val="20"/>
                <w:szCs w:val="20"/>
              </w:rPr>
            </w:pPr>
          </w:p>
          <w:p w14:paraId="29B1C243" w14:textId="4B30CD4A" w:rsidR="005F021A" w:rsidRPr="00D86243" w:rsidRDefault="00A844D0" w:rsidP="005F021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A407137" wp14:editId="3F9976EF">
                  <wp:extent cx="2451100" cy="1248784"/>
                  <wp:effectExtent l="0" t="0" r="6350" b="889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81" cy="1260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021A" w14:paraId="3AFEBA66" w14:textId="77777777" w:rsidTr="00A844D0">
        <w:trPr>
          <w:cantSplit/>
          <w:trHeight w:val="845"/>
        </w:trPr>
        <w:tc>
          <w:tcPr>
            <w:tcW w:w="2070" w:type="dxa"/>
            <w:vAlign w:val="center"/>
          </w:tcPr>
          <w:p w14:paraId="0A61D1ED" w14:textId="77777777" w:rsidR="005F021A" w:rsidRPr="00822B6F" w:rsidRDefault="005F021A" w:rsidP="005F021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GSIA</w:t>
            </w:r>
          </w:p>
        </w:tc>
        <w:tc>
          <w:tcPr>
            <w:tcW w:w="8910" w:type="dxa"/>
          </w:tcPr>
          <w:p w14:paraId="7CAE3C47" w14:textId="07F16C32" w:rsidR="005F021A" w:rsidRDefault="00677A43" w:rsidP="00303D94">
            <w:pPr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C5393B">
              <w:rPr>
                <w:sz w:val="20"/>
                <w:szCs w:val="20"/>
              </w:rPr>
              <w:t>PGE3PHVC160 Revision 3</w:t>
            </w:r>
            <w:r>
              <w:rPr>
                <w:sz w:val="20"/>
                <w:szCs w:val="20"/>
              </w:rPr>
              <w:t xml:space="preserve"> Section 1.4.1 </w:t>
            </w:r>
            <w:r w:rsidR="00303D94">
              <w:rPr>
                <w:sz w:val="20"/>
                <w:szCs w:val="20"/>
              </w:rPr>
              <w:t>DEER Data</w:t>
            </w:r>
            <w:r w:rsidR="00BD58E3">
              <w:rPr>
                <w:sz w:val="20"/>
                <w:szCs w:val="20"/>
              </w:rPr>
              <w:t xml:space="preserve"> and SDG&amp;E Ex-ante submission.</w:t>
            </w:r>
          </w:p>
          <w:p w14:paraId="53D0634C" w14:textId="77777777" w:rsidR="00BD58E3" w:rsidRDefault="00BD58E3" w:rsidP="00303D94">
            <w:pPr>
              <w:jc w:val="both"/>
              <w:rPr>
                <w:sz w:val="20"/>
                <w:szCs w:val="20"/>
              </w:rPr>
            </w:pPr>
          </w:p>
          <w:p w14:paraId="287F697D" w14:textId="2E71AACA" w:rsidR="00A844D0" w:rsidRPr="004748BE" w:rsidRDefault="00D93798" w:rsidP="00303D94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9B1C460" wp14:editId="76A0BB3C">
                  <wp:extent cx="4743450" cy="1367275"/>
                  <wp:effectExtent l="0" t="0" r="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0875" cy="1412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021A" w14:paraId="49A2DCE8" w14:textId="77777777" w:rsidTr="00A844D0">
        <w:trPr>
          <w:cantSplit/>
          <w:trHeight w:val="458"/>
        </w:trPr>
        <w:tc>
          <w:tcPr>
            <w:tcW w:w="10980" w:type="dxa"/>
            <w:gridSpan w:val="2"/>
            <w:vAlign w:val="center"/>
          </w:tcPr>
          <w:p w14:paraId="17648B59" w14:textId="77777777" w:rsidR="00AE7280" w:rsidRDefault="00AE7280" w:rsidP="005F021A">
            <w:pPr>
              <w:rPr>
                <w:b/>
              </w:rPr>
            </w:pPr>
          </w:p>
          <w:p w14:paraId="79CA185C" w14:textId="7D618097" w:rsidR="00AE7280" w:rsidRDefault="00AE7280" w:rsidP="005F021A">
            <w:pPr>
              <w:rPr>
                <w:b/>
              </w:rPr>
            </w:pPr>
          </w:p>
          <w:p w14:paraId="337F8C2E" w14:textId="77777777" w:rsidR="00AE7280" w:rsidRDefault="00AE7280" w:rsidP="005F021A">
            <w:pPr>
              <w:rPr>
                <w:b/>
              </w:rPr>
            </w:pPr>
          </w:p>
          <w:p w14:paraId="43522D98" w14:textId="5D30C843" w:rsidR="005F021A" w:rsidRDefault="005F021A" w:rsidP="005F021A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  <w:p w14:paraId="5AFDFF1C" w14:textId="77777777" w:rsidR="00AE7280" w:rsidRDefault="00AE7280" w:rsidP="005F021A">
            <w:pPr>
              <w:rPr>
                <w:b/>
              </w:rPr>
            </w:pPr>
          </w:p>
          <w:p w14:paraId="5941BAA9" w14:textId="42ABFC61" w:rsidR="00AE7280" w:rsidRPr="00241A1F" w:rsidRDefault="00AE7280" w:rsidP="005F021A">
            <w:pPr>
              <w:rPr>
                <w:rFonts w:cs="Arial"/>
                <w:sz w:val="20"/>
                <w:szCs w:val="20"/>
              </w:rPr>
            </w:pPr>
          </w:p>
        </w:tc>
      </w:tr>
      <w:tr w:rsidR="005F021A" w14:paraId="3AE19B38" w14:textId="77777777" w:rsidTr="00A844D0">
        <w:trPr>
          <w:cantSplit/>
        </w:trPr>
        <w:tc>
          <w:tcPr>
            <w:tcW w:w="2070" w:type="dxa"/>
            <w:vAlign w:val="center"/>
          </w:tcPr>
          <w:p w14:paraId="08017F42" w14:textId="77777777" w:rsidR="005F021A" w:rsidRDefault="005F021A" w:rsidP="005F021A">
            <w:pPr>
              <w:jc w:val="right"/>
            </w:pPr>
            <w:r>
              <w:rPr>
                <w:rFonts w:cs="Arial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8910" w:type="dxa"/>
          </w:tcPr>
          <w:p w14:paraId="1A1536BC" w14:textId="713CED95" w:rsidR="00CD07B4" w:rsidRPr="00F877A0" w:rsidRDefault="00677A43" w:rsidP="00F877A0">
            <w:pPr>
              <w:jc w:val="both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C5393B">
              <w:rPr>
                <w:sz w:val="20"/>
                <w:szCs w:val="20"/>
              </w:rPr>
              <w:t>PGE3PHVC160 Revision 3</w:t>
            </w:r>
            <w:r>
              <w:rPr>
                <w:sz w:val="20"/>
                <w:szCs w:val="20"/>
              </w:rPr>
              <w:t xml:space="preserve"> Section 2 Calculation Methodology</w:t>
            </w:r>
            <w:r w:rsidR="00D93798">
              <w:rPr>
                <w:sz w:val="20"/>
                <w:szCs w:val="20"/>
              </w:rPr>
              <w:t>, DEER READI v2.5.1 and SDG&amp;E Ex-ante data</w:t>
            </w:r>
            <w:r w:rsidR="00F877A0">
              <w:rPr>
                <w:sz w:val="20"/>
                <w:szCs w:val="20"/>
              </w:rPr>
              <w:t xml:space="preserve">base table submission, and as stated herein by reference in the Measures Section table on page 4. </w:t>
            </w:r>
          </w:p>
        </w:tc>
      </w:tr>
      <w:tr w:rsidR="005F021A" w14:paraId="098E0A5E" w14:textId="77777777" w:rsidTr="00A844D0">
        <w:trPr>
          <w:cantSplit/>
        </w:trPr>
        <w:tc>
          <w:tcPr>
            <w:tcW w:w="10980" w:type="dxa"/>
            <w:gridSpan w:val="2"/>
            <w:vAlign w:val="center"/>
          </w:tcPr>
          <w:p w14:paraId="7C0C93C6" w14:textId="77777777" w:rsidR="005F021A" w:rsidRPr="00476F40" w:rsidRDefault="005F021A" w:rsidP="005F021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1D77F7">
              <w:rPr>
                <w:b/>
              </w:rPr>
              <w:t>Section 3. Load Shapes</w:t>
            </w:r>
          </w:p>
        </w:tc>
      </w:tr>
      <w:tr w:rsidR="005F021A" w14:paraId="3C985753" w14:textId="77777777" w:rsidTr="00A844D0">
        <w:trPr>
          <w:cantSplit/>
        </w:trPr>
        <w:tc>
          <w:tcPr>
            <w:tcW w:w="2070" w:type="dxa"/>
            <w:vAlign w:val="center"/>
          </w:tcPr>
          <w:p w14:paraId="2930804E" w14:textId="77777777" w:rsidR="005F021A" w:rsidRPr="00DD2F3D" w:rsidRDefault="005F021A" w:rsidP="005F021A">
            <w:r>
              <w:t>Load Shape</w:t>
            </w:r>
          </w:p>
        </w:tc>
        <w:tc>
          <w:tcPr>
            <w:tcW w:w="8910" w:type="dxa"/>
          </w:tcPr>
          <w:p w14:paraId="6BC992FD" w14:textId="77777777" w:rsidR="005F021A" w:rsidRDefault="00677A43" w:rsidP="005F021A">
            <w:pPr>
              <w:tabs>
                <w:tab w:val="right" w:pos="6732"/>
              </w:tabs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C5393B">
              <w:rPr>
                <w:sz w:val="20"/>
                <w:szCs w:val="20"/>
              </w:rPr>
              <w:t>PGE3PHVC160 Revision 3</w:t>
            </w:r>
            <w:r>
              <w:rPr>
                <w:sz w:val="20"/>
                <w:szCs w:val="20"/>
              </w:rPr>
              <w:t xml:space="preserve"> Section 3 Load Shapes</w:t>
            </w:r>
          </w:p>
          <w:p w14:paraId="699C4240" w14:textId="77777777" w:rsidR="00AE7280" w:rsidRDefault="00AE7280" w:rsidP="005F021A">
            <w:pPr>
              <w:tabs>
                <w:tab w:val="right" w:pos="6732"/>
              </w:tabs>
              <w:rPr>
                <w:sz w:val="20"/>
                <w:szCs w:val="20"/>
              </w:rPr>
            </w:pPr>
          </w:p>
          <w:p w14:paraId="21C5804D" w14:textId="5ECEC005" w:rsidR="00AE7280" w:rsidRDefault="00AE7280" w:rsidP="005F021A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sz w:val="20"/>
              </w:rPr>
              <w:t>E3 Electric Impact Profile = “</w:t>
            </w:r>
            <w:proofErr w:type="spellStart"/>
            <w:proofErr w:type="gramStart"/>
            <w:r w:rsidRPr="00AE7280">
              <w:rPr>
                <w:rFonts w:cstheme="minorHAnsi"/>
                <w:bCs/>
                <w:sz w:val="20"/>
              </w:rPr>
              <w:t>SDG:DEER</w:t>
            </w:r>
            <w:proofErr w:type="gramEnd"/>
            <w:r w:rsidRPr="00AE7280">
              <w:rPr>
                <w:rFonts w:cstheme="minorHAnsi"/>
                <w:bCs/>
                <w:sz w:val="20"/>
              </w:rPr>
              <w:t>:Com:HVAC_Split-Package_AC</w:t>
            </w:r>
            <w:proofErr w:type="spellEnd"/>
            <w:r>
              <w:rPr>
                <w:rFonts w:cstheme="minorHAnsi"/>
                <w:bCs/>
                <w:sz w:val="20"/>
              </w:rPr>
              <w:t>”</w:t>
            </w:r>
          </w:p>
          <w:p w14:paraId="3CA97A40" w14:textId="77777777" w:rsidR="00AE7280" w:rsidRDefault="00AE7280" w:rsidP="005F021A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</w:p>
          <w:p w14:paraId="44B7071A" w14:textId="1C65FCA7" w:rsidR="00AE7280" w:rsidRDefault="00AE7280" w:rsidP="005F021A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F9A4EFD" wp14:editId="2DD4FBDB">
                  <wp:extent cx="5520690" cy="361950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069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021A" w14:paraId="2591BE2B" w14:textId="77777777" w:rsidTr="00A844D0">
        <w:trPr>
          <w:cantSplit/>
        </w:trPr>
        <w:tc>
          <w:tcPr>
            <w:tcW w:w="10980" w:type="dxa"/>
            <w:gridSpan w:val="2"/>
            <w:vAlign w:val="center"/>
          </w:tcPr>
          <w:p w14:paraId="3B5ACDB0" w14:textId="77777777" w:rsidR="005F021A" w:rsidRDefault="005F021A" w:rsidP="005F021A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</w:t>
            </w:r>
            <w:r w:rsidRPr="00244805">
              <w:rPr>
                <w:b/>
              </w:rPr>
              <w:t xml:space="preserve">. </w:t>
            </w:r>
            <w:r>
              <w:rPr>
                <w:b/>
              </w:rPr>
              <w:t>Cost</w:t>
            </w:r>
          </w:p>
        </w:tc>
      </w:tr>
      <w:tr w:rsidR="005F021A" w14:paraId="257EB581" w14:textId="77777777" w:rsidTr="00A844D0">
        <w:trPr>
          <w:cantSplit/>
        </w:trPr>
        <w:tc>
          <w:tcPr>
            <w:tcW w:w="10980" w:type="dxa"/>
            <w:gridSpan w:val="2"/>
            <w:vAlign w:val="center"/>
          </w:tcPr>
          <w:p w14:paraId="63393A4E" w14:textId="77777777" w:rsidR="005F021A" w:rsidRDefault="005F021A" w:rsidP="005F021A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>
              <w:rPr>
                <w:b/>
              </w:rPr>
              <w:t>Section 4.1 Base and Measure Costs</w:t>
            </w:r>
          </w:p>
        </w:tc>
      </w:tr>
      <w:tr w:rsidR="005F021A" w14:paraId="2B825504" w14:textId="77777777" w:rsidTr="00A844D0">
        <w:trPr>
          <w:cantSplit/>
          <w:trHeight w:val="575"/>
        </w:trPr>
        <w:tc>
          <w:tcPr>
            <w:tcW w:w="2070" w:type="dxa"/>
          </w:tcPr>
          <w:p w14:paraId="0905D050" w14:textId="77777777" w:rsidR="005F021A" w:rsidRPr="00D91B6C" w:rsidRDefault="005F021A" w:rsidP="005F021A">
            <w:r w:rsidRPr="00D91B6C">
              <w:t>Base Cost</w:t>
            </w:r>
          </w:p>
        </w:tc>
        <w:tc>
          <w:tcPr>
            <w:tcW w:w="8910" w:type="dxa"/>
          </w:tcPr>
          <w:p w14:paraId="0B1527AB" w14:textId="182F7F78" w:rsidR="00510606" w:rsidRDefault="00677A43" w:rsidP="00510606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C5393B">
              <w:rPr>
                <w:sz w:val="20"/>
                <w:szCs w:val="20"/>
              </w:rPr>
              <w:t>PGE3PHVC160 Revision 3</w:t>
            </w:r>
            <w:r>
              <w:rPr>
                <w:sz w:val="20"/>
                <w:szCs w:val="20"/>
              </w:rPr>
              <w:t xml:space="preserve"> Section 4.1 Base Case Cost</w:t>
            </w:r>
            <w:r w:rsidR="00510606">
              <w:rPr>
                <w:sz w:val="20"/>
                <w:szCs w:val="20"/>
              </w:rPr>
              <w:t xml:space="preserve"> for details on how </w:t>
            </w:r>
            <w:r w:rsidR="00046DC6">
              <w:rPr>
                <w:sz w:val="20"/>
                <w:szCs w:val="20"/>
              </w:rPr>
              <w:t xml:space="preserve">baseline </w:t>
            </w:r>
            <w:r w:rsidR="00510606">
              <w:rPr>
                <w:sz w:val="20"/>
                <w:szCs w:val="20"/>
              </w:rPr>
              <w:t xml:space="preserve">cost estimates were determined. </w:t>
            </w:r>
          </w:p>
          <w:p w14:paraId="459F7D40" w14:textId="77777777" w:rsidR="00510606" w:rsidRDefault="00510606" w:rsidP="00510606">
            <w:pPr>
              <w:rPr>
                <w:sz w:val="20"/>
                <w:szCs w:val="20"/>
              </w:rPr>
            </w:pPr>
          </w:p>
          <w:p w14:paraId="2031AE08" w14:textId="77777777" w:rsidR="00E36ACE" w:rsidRDefault="00E36ACE" w:rsidP="00E36ACE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SDG&amp;E adopts all cost and created SDG&amp;E measure cost IDs for reporting purposes. SDG&amp;E measure cost IDs are included in Ex-Ante tables submission. </w:t>
            </w:r>
          </w:p>
          <w:p w14:paraId="111415DD" w14:textId="327D46E2" w:rsidR="005F021A" w:rsidRDefault="005F021A" w:rsidP="005F021A">
            <w:pPr>
              <w:rPr>
                <w:sz w:val="20"/>
                <w:szCs w:val="20"/>
              </w:rPr>
            </w:pPr>
          </w:p>
          <w:p w14:paraId="3F153440" w14:textId="4FF73E32" w:rsidR="00025499" w:rsidRPr="00F44876" w:rsidRDefault="004832C0" w:rsidP="005F0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Base Cost ID = </w:t>
            </w:r>
            <w:proofErr w:type="spellStart"/>
            <w:r w:rsidRPr="004832C0">
              <w:rPr>
                <w:sz w:val="20"/>
                <w:szCs w:val="20"/>
              </w:rPr>
              <w:t>BaseCostZero</w:t>
            </w:r>
            <w:proofErr w:type="spellEnd"/>
            <w:r>
              <w:rPr>
                <w:sz w:val="20"/>
                <w:szCs w:val="20"/>
              </w:rPr>
              <w:t xml:space="preserve"> = $0.00</w:t>
            </w:r>
          </w:p>
        </w:tc>
      </w:tr>
      <w:tr w:rsidR="005F021A" w14:paraId="3FBD5C64" w14:textId="77777777" w:rsidTr="00A844D0">
        <w:trPr>
          <w:cantSplit/>
        </w:trPr>
        <w:tc>
          <w:tcPr>
            <w:tcW w:w="2070" w:type="dxa"/>
          </w:tcPr>
          <w:p w14:paraId="42044528" w14:textId="77777777" w:rsidR="005F021A" w:rsidRPr="00D91B6C" w:rsidRDefault="005F021A" w:rsidP="005F021A">
            <w:r w:rsidRPr="00D91B6C">
              <w:t xml:space="preserve">Measure Cost </w:t>
            </w:r>
          </w:p>
        </w:tc>
        <w:tc>
          <w:tcPr>
            <w:tcW w:w="8910" w:type="dxa"/>
          </w:tcPr>
          <w:p w14:paraId="348433F8" w14:textId="547BB458" w:rsidR="00234E6B" w:rsidRDefault="00677A43" w:rsidP="00234E6B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Please reference </w:t>
            </w:r>
            <w:r w:rsidR="00C5393B">
              <w:rPr>
                <w:sz w:val="20"/>
                <w:szCs w:val="20"/>
              </w:rPr>
              <w:t>PGE3PHVC160 Revision 3</w:t>
            </w:r>
            <w:r>
              <w:rPr>
                <w:sz w:val="20"/>
                <w:szCs w:val="20"/>
              </w:rPr>
              <w:t xml:space="preserve"> Section 4.2 Measure Case Cost</w:t>
            </w:r>
            <w:r w:rsidR="00234E6B">
              <w:rPr>
                <w:sz w:val="20"/>
                <w:szCs w:val="20"/>
              </w:rPr>
              <w:t xml:space="preserve"> for details on how measure cost estimates were determined. </w:t>
            </w:r>
          </w:p>
          <w:p w14:paraId="4ECA774D" w14:textId="77777777" w:rsidR="00234E6B" w:rsidRDefault="00234E6B" w:rsidP="00234E6B">
            <w:pPr>
              <w:rPr>
                <w:sz w:val="20"/>
                <w:szCs w:val="20"/>
              </w:rPr>
            </w:pPr>
          </w:p>
          <w:p w14:paraId="544275B4" w14:textId="0CF81C42" w:rsidR="00E36ACE" w:rsidRDefault="00E36ACE" w:rsidP="00E36A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SDG&amp;E adopts all cost and created SDG&amp;E measure cost IDs for reporting purposes. SDG&amp;E measure cost IDs are included in Ex-Ante tables submission. </w:t>
            </w:r>
            <w:r w:rsidR="004832C0">
              <w:rPr>
                <w:sz w:val="20"/>
                <w:szCs w:val="20"/>
              </w:rPr>
              <w:t xml:space="preserve">Units = “Cap-Tons”. </w:t>
            </w:r>
          </w:p>
          <w:p w14:paraId="39CFD480" w14:textId="77777777" w:rsidR="004832C0" w:rsidRDefault="004832C0" w:rsidP="00E36ACE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0A2BE25A" w14:textId="77777777" w:rsidR="005F021A" w:rsidRDefault="004832C0" w:rsidP="00677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Measure Cost ID = </w:t>
            </w:r>
            <w:r w:rsidRPr="004832C0">
              <w:rPr>
                <w:sz w:val="20"/>
                <w:szCs w:val="20"/>
              </w:rPr>
              <w:t>SDG-</w:t>
            </w:r>
            <w:proofErr w:type="spellStart"/>
            <w:r w:rsidRPr="004832C0">
              <w:rPr>
                <w:sz w:val="20"/>
                <w:szCs w:val="20"/>
              </w:rPr>
              <w:t>RCAadjCom</w:t>
            </w:r>
            <w:proofErr w:type="spellEnd"/>
            <w:r>
              <w:rPr>
                <w:sz w:val="20"/>
                <w:szCs w:val="20"/>
              </w:rPr>
              <w:t xml:space="preserve"> = </w:t>
            </w:r>
            <w:r w:rsidRPr="004832C0">
              <w:rPr>
                <w:sz w:val="20"/>
                <w:szCs w:val="20"/>
              </w:rPr>
              <w:t>$47.49</w:t>
            </w:r>
            <w:r>
              <w:rPr>
                <w:sz w:val="20"/>
                <w:szCs w:val="20"/>
              </w:rPr>
              <w:t>/Unit</w:t>
            </w:r>
          </w:p>
          <w:p w14:paraId="65B7301B" w14:textId="114DF921" w:rsidR="004832C0" w:rsidRPr="00F44876" w:rsidRDefault="004832C0" w:rsidP="00677A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IMC = $47.49/Unit</w:t>
            </w:r>
          </w:p>
        </w:tc>
      </w:tr>
    </w:tbl>
    <w:p w14:paraId="5E8E4756" w14:textId="77777777" w:rsidR="00C228B0" w:rsidRPr="00FD3D43" w:rsidRDefault="00C228B0" w:rsidP="00F44876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E086B" w14:textId="77777777" w:rsidR="008D1C6F" w:rsidRDefault="008D1C6F" w:rsidP="00FE520B">
      <w:r>
        <w:separator/>
      </w:r>
    </w:p>
  </w:endnote>
  <w:endnote w:type="continuationSeparator" w:id="0">
    <w:p w14:paraId="20B5A885" w14:textId="77777777" w:rsidR="008D1C6F" w:rsidRDefault="008D1C6F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9B3F" w14:textId="39D1217D" w:rsidR="008F2E0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DF780B">
      <w:rPr>
        <w:b/>
      </w:rPr>
      <w:t>WPSDGENRHC</w:t>
    </w:r>
    <w:r w:rsidR="007545B7">
      <w:rPr>
        <w:b/>
      </w:rPr>
      <w:t>0022</w:t>
    </w:r>
    <w:r>
      <w:rPr>
        <w:b/>
      </w:rPr>
      <w:t>, Revision</w:t>
    </w:r>
    <w:r w:rsidR="001C734D">
      <w:rPr>
        <w:b/>
      </w:rPr>
      <w:t xml:space="preserve"> </w:t>
    </w:r>
    <w:r w:rsidR="000A04AA">
      <w:rPr>
        <w:b/>
      </w:rPr>
      <w:t>2</w:t>
    </w:r>
    <w:r w:rsidR="00E372B8">
      <w:rPr>
        <w:b/>
      </w:rPr>
      <w:tab/>
    </w:r>
    <w:r w:rsidR="00E372B8">
      <w:rPr>
        <w:b/>
      </w:rPr>
      <w:tab/>
    </w:r>
    <w:r w:rsidR="00737943">
      <w:rPr>
        <w:b/>
      </w:rPr>
      <w:t>January 1</w:t>
    </w:r>
    <w:r w:rsidR="00D11030">
      <w:rPr>
        <w:rFonts w:cstheme="minorHAnsi"/>
        <w:b/>
        <w:szCs w:val="22"/>
      </w:rPr>
      <w:t>, 201</w:t>
    </w:r>
    <w:r w:rsidR="00737943">
      <w:rPr>
        <w:rFonts w:cstheme="minorHAnsi"/>
        <w:b/>
        <w:szCs w:val="22"/>
      </w:rPr>
      <w:t>9</w:t>
    </w:r>
  </w:p>
  <w:p w14:paraId="198790A9" w14:textId="65C0785B" w:rsidR="008F2E00" w:rsidRPr="009500DC" w:rsidRDefault="00E372B8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="00C7215A" w:rsidRPr="00C7215A">
      <w:rPr>
        <w:b/>
      </w:rPr>
      <w:fldChar w:fldCharType="begin"/>
    </w:r>
    <w:r w:rsidR="00C7215A" w:rsidRPr="00C7215A">
      <w:rPr>
        <w:b/>
      </w:rPr>
      <w:instrText xml:space="preserve"> PAGE   \* MERGEFORMAT </w:instrText>
    </w:r>
    <w:r w:rsidR="00C7215A" w:rsidRPr="00C7215A">
      <w:rPr>
        <w:b/>
      </w:rPr>
      <w:fldChar w:fldCharType="separate"/>
    </w:r>
    <w:r w:rsidR="00903A2C">
      <w:rPr>
        <w:b/>
        <w:noProof/>
      </w:rPr>
      <w:t>9</w:t>
    </w:r>
    <w:r w:rsidR="00C7215A"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B3F97" w14:textId="77777777" w:rsidR="008D1C6F" w:rsidRDefault="008D1C6F" w:rsidP="00FE520B">
      <w:r>
        <w:separator/>
      </w:r>
    </w:p>
  </w:footnote>
  <w:footnote w:type="continuationSeparator" w:id="0">
    <w:p w14:paraId="00439F95" w14:textId="77777777" w:rsidR="008D1C6F" w:rsidRDefault="008D1C6F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F71C6"/>
    <w:multiLevelType w:val="hybridMultilevel"/>
    <w:tmpl w:val="5A946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17E23"/>
    <w:multiLevelType w:val="hybridMultilevel"/>
    <w:tmpl w:val="B68A63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579B7"/>
    <w:multiLevelType w:val="hybridMultilevel"/>
    <w:tmpl w:val="1C6838F8"/>
    <w:lvl w:ilvl="0" w:tplc="1500155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34A65"/>
    <w:multiLevelType w:val="hybridMultilevel"/>
    <w:tmpl w:val="9F10B4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692E4B"/>
    <w:multiLevelType w:val="hybridMultilevel"/>
    <w:tmpl w:val="DA28CA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8E7A2A"/>
    <w:multiLevelType w:val="hybridMultilevel"/>
    <w:tmpl w:val="E45A16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4252B"/>
    <w:multiLevelType w:val="hybridMultilevel"/>
    <w:tmpl w:val="03F4E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14"/>
  </w:num>
  <w:num w:numId="6">
    <w:abstractNumId w:val="4"/>
  </w:num>
  <w:num w:numId="7">
    <w:abstractNumId w:val="20"/>
  </w:num>
  <w:num w:numId="8">
    <w:abstractNumId w:val="17"/>
  </w:num>
  <w:num w:numId="9">
    <w:abstractNumId w:val="5"/>
  </w:num>
  <w:num w:numId="10">
    <w:abstractNumId w:val="18"/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16"/>
  </w:num>
  <w:num w:numId="17">
    <w:abstractNumId w:val="10"/>
  </w:num>
  <w:num w:numId="18">
    <w:abstractNumId w:val="0"/>
  </w:num>
  <w:num w:numId="19">
    <w:abstractNumId w:val="7"/>
  </w:num>
  <w:num w:numId="20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7C6"/>
    <w:rsid w:val="00004D4E"/>
    <w:rsid w:val="0000540F"/>
    <w:rsid w:val="00023C32"/>
    <w:rsid w:val="00025499"/>
    <w:rsid w:val="00026FA7"/>
    <w:rsid w:val="00031221"/>
    <w:rsid w:val="00031BA0"/>
    <w:rsid w:val="00036A2C"/>
    <w:rsid w:val="00046DC6"/>
    <w:rsid w:val="00051762"/>
    <w:rsid w:val="00052743"/>
    <w:rsid w:val="00052CE4"/>
    <w:rsid w:val="00061B30"/>
    <w:rsid w:val="00066880"/>
    <w:rsid w:val="00067315"/>
    <w:rsid w:val="00067AF1"/>
    <w:rsid w:val="000719BF"/>
    <w:rsid w:val="000815F4"/>
    <w:rsid w:val="000950B7"/>
    <w:rsid w:val="000A04AA"/>
    <w:rsid w:val="000A2B83"/>
    <w:rsid w:val="000A3A47"/>
    <w:rsid w:val="000B6542"/>
    <w:rsid w:val="000C13AE"/>
    <w:rsid w:val="000C19C4"/>
    <w:rsid w:val="000C441A"/>
    <w:rsid w:val="000D243C"/>
    <w:rsid w:val="000D69BE"/>
    <w:rsid w:val="000E19CA"/>
    <w:rsid w:val="000E2BAF"/>
    <w:rsid w:val="000E2CA6"/>
    <w:rsid w:val="000E6540"/>
    <w:rsid w:val="000E65D6"/>
    <w:rsid w:val="000E69F0"/>
    <w:rsid w:val="000F5B93"/>
    <w:rsid w:val="000F6BA3"/>
    <w:rsid w:val="000F72EF"/>
    <w:rsid w:val="00102A73"/>
    <w:rsid w:val="001039B0"/>
    <w:rsid w:val="001046CB"/>
    <w:rsid w:val="00114EEC"/>
    <w:rsid w:val="00121B4E"/>
    <w:rsid w:val="0012271D"/>
    <w:rsid w:val="00125D9E"/>
    <w:rsid w:val="00131C78"/>
    <w:rsid w:val="00132B69"/>
    <w:rsid w:val="001351BC"/>
    <w:rsid w:val="00143843"/>
    <w:rsid w:val="001505DA"/>
    <w:rsid w:val="001518E0"/>
    <w:rsid w:val="0016189C"/>
    <w:rsid w:val="001752E5"/>
    <w:rsid w:val="00183A2F"/>
    <w:rsid w:val="0018637F"/>
    <w:rsid w:val="00194466"/>
    <w:rsid w:val="00196DC7"/>
    <w:rsid w:val="001979FF"/>
    <w:rsid w:val="001A11C1"/>
    <w:rsid w:val="001A4875"/>
    <w:rsid w:val="001B1C8A"/>
    <w:rsid w:val="001B5D6C"/>
    <w:rsid w:val="001C3663"/>
    <w:rsid w:val="001C734D"/>
    <w:rsid w:val="001D0AB9"/>
    <w:rsid w:val="001D57D7"/>
    <w:rsid w:val="001D6A64"/>
    <w:rsid w:val="001E1F6A"/>
    <w:rsid w:val="001F36D8"/>
    <w:rsid w:val="001F64F8"/>
    <w:rsid w:val="00200310"/>
    <w:rsid w:val="00201A3F"/>
    <w:rsid w:val="00215828"/>
    <w:rsid w:val="0022142D"/>
    <w:rsid w:val="00231DE1"/>
    <w:rsid w:val="00234E6B"/>
    <w:rsid w:val="00235AFB"/>
    <w:rsid w:val="00241A1F"/>
    <w:rsid w:val="00244447"/>
    <w:rsid w:val="00244805"/>
    <w:rsid w:val="00285F4F"/>
    <w:rsid w:val="00291B2B"/>
    <w:rsid w:val="00295895"/>
    <w:rsid w:val="002C1030"/>
    <w:rsid w:val="002C15E6"/>
    <w:rsid w:val="002C283C"/>
    <w:rsid w:val="002C3734"/>
    <w:rsid w:val="002D0BD6"/>
    <w:rsid w:val="002D7807"/>
    <w:rsid w:val="002D7B3E"/>
    <w:rsid w:val="002E0948"/>
    <w:rsid w:val="002E24BE"/>
    <w:rsid w:val="002F24CE"/>
    <w:rsid w:val="00303D94"/>
    <w:rsid w:val="003115FE"/>
    <w:rsid w:val="00314DF5"/>
    <w:rsid w:val="00315EE8"/>
    <w:rsid w:val="00323C28"/>
    <w:rsid w:val="0032761E"/>
    <w:rsid w:val="003279DB"/>
    <w:rsid w:val="00332126"/>
    <w:rsid w:val="0034557D"/>
    <w:rsid w:val="003607BA"/>
    <w:rsid w:val="00360CFA"/>
    <w:rsid w:val="00373EC5"/>
    <w:rsid w:val="0039166D"/>
    <w:rsid w:val="00397A6D"/>
    <w:rsid w:val="003A0D2B"/>
    <w:rsid w:val="003A4277"/>
    <w:rsid w:val="003A43AE"/>
    <w:rsid w:val="003A7B4E"/>
    <w:rsid w:val="003B5806"/>
    <w:rsid w:val="003B5DCF"/>
    <w:rsid w:val="003B6A2A"/>
    <w:rsid w:val="003B7A13"/>
    <w:rsid w:val="003C2EE4"/>
    <w:rsid w:val="003D1C21"/>
    <w:rsid w:val="003E035B"/>
    <w:rsid w:val="003E0DC8"/>
    <w:rsid w:val="003E122A"/>
    <w:rsid w:val="003E5528"/>
    <w:rsid w:val="003E6E57"/>
    <w:rsid w:val="003E6FA5"/>
    <w:rsid w:val="003F1F0D"/>
    <w:rsid w:val="00402B3D"/>
    <w:rsid w:val="00404A43"/>
    <w:rsid w:val="00413EF4"/>
    <w:rsid w:val="00416118"/>
    <w:rsid w:val="00430775"/>
    <w:rsid w:val="00431763"/>
    <w:rsid w:val="004402EE"/>
    <w:rsid w:val="004452CE"/>
    <w:rsid w:val="0044686E"/>
    <w:rsid w:val="00446BE5"/>
    <w:rsid w:val="004519B4"/>
    <w:rsid w:val="004638E4"/>
    <w:rsid w:val="00467DB3"/>
    <w:rsid w:val="004748BE"/>
    <w:rsid w:val="004832C0"/>
    <w:rsid w:val="00492365"/>
    <w:rsid w:val="004A6215"/>
    <w:rsid w:val="004B01C6"/>
    <w:rsid w:val="004B2E23"/>
    <w:rsid w:val="004B77DF"/>
    <w:rsid w:val="004D0326"/>
    <w:rsid w:val="004D4511"/>
    <w:rsid w:val="004D5D19"/>
    <w:rsid w:val="004E13B2"/>
    <w:rsid w:val="004E1E7E"/>
    <w:rsid w:val="004F3B6F"/>
    <w:rsid w:val="004F7D90"/>
    <w:rsid w:val="00510606"/>
    <w:rsid w:val="00513723"/>
    <w:rsid w:val="005248E2"/>
    <w:rsid w:val="00541556"/>
    <w:rsid w:val="005428E1"/>
    <w:rsid w:val="00543687"/>
    <w:rsid w:val="00555671"/>
    <w:rsid w:val="005613FC"/>
    <w:rsid w:val="00567FEF"/>
    <w:rsid w:val="00580664"/>
    <w:rsid w:val="0059117D"/>
    <w:rsid w:val="00591D85"/>
    <w:rsid w:val="0059663B"/>
    <w:rsid w:val="005A08D4"/>
    <w:rsid w:val="005B5614"/>
    <w:rsid w:val="005C1518"/>
    <w:rsid w:val="005D0DA1"/>
    <w:rsid w:val="005D20E4"/>
    <w:rsid w:val="005D5D5A"/>
    <w:rsid w:val="005E18A1"/>
    <w:rsid w:val="005F021A"/>
    <w:rsid w:val="005F46E1"/>
    <w:rsid w:val="00606E8C"/>
    <w:rsid w:val="006173CC"/>
    <w:rsid w:val="0062124C"/>
    <w:rsid w:val="0062489A"/>
    <w:rsid w:val="00636490"/>
    <w:rsid w:val="006374F1"/>
    <w:rsid w:val="00650C31"/>
    <w:rsid w:val="00650F0D"/>
    <w:rsid w:val="0065373B"/>
    <w:rsid w:val="00653C4B"/>
    <w:rsid w:val="00666CDA"/>
    <w:rsid w:val="00677A43"/>
    <w:rsid w:val="00681B91"/>
    <w:rsid w:val="00682E19"/>
    <w:rsid w:val="00684ABA"/>
    <w:rsid w:val="00686789"/>
    <w:rsid w:val="006875B3"/>
    <w:rsid w:val="00690961"/>
    <w:rsid w:val="00690A38"/>
    <w:rsid w:val="00695478"/>
    <w:rsid w:val="006A2C49"/>
    <w:rsid w:val="006A3E63"/>
    <w:rsid w:val="006A4C65"/>
    <w:rsid w:val="006B0D5C"/>
    <w:rsid w:val="006B3975"/>
    <w:rsid w:val="006B4F62"/>
    <w:rsid w:val="006C697C"/>
    <w:rsid w:val="006D03F9"/>
    <w:rsid w:val="006D2B70"/>
    <w:rsid w:val="00707736"/>
    <w:rsid w:val="00711B58"/>
    <w:rsid w:val="00722C9C"/>
    <w:rsid w:val="00727839"/>
    <w:rsid w:val="007321C3"/>
    <w:rsid w:val="00734C31"/>
    <w:rsid w:val="00737943"/>
    <w:rsid w:val="007450D5"/>
    <w:rsid w:val="00752529"/>
    <w:rsid w:val="007545B7"/>
    <w:rsid w:val="0075514D"/>
    <w:rsid w:val="00757057"/>
    <w:rsid w:val="00762D81"/>
    <w:rsid w:val="00764A26"/>
    <w:rsid w:val="0077685A"/>
    <w:rsid w:val="0078006D"/>
    <w:rsid w:val="0078177A"/>
    <w:rsid w:val="00785AC8"/>
    <w:rsid w:val="00786E32"/>
    <w:rsid w:val="00787D7C"/>
    <w:rsid w:val="00792928"/>
    <w:rsid w:val="00797B54"/>
    <w:rsid w:val="007A3531"/>
    <w:rsid w:val="007B18FE"/>
    <w:rsid w:val="007C544A"/>
    <w:rsid w:val="007D1A21"/>
    <w:rsid w:val="007D1F1E"/>
    <w:rsid w:val="007D3A21"/>
    <w:rsid w:val="007D4F8E"/>
    <w:rsid w:val="007D6FF1"/>
    <w:rsid w:val="007D7846"/>
    <w:rsid w:val="007E6B58"/>
    <w:rsid w:val="007E7E00"/>
    <w:rsid w:val="008043F4"/>
    <w:rsid w:val="008078B2"/>
    <w:rsid w:val="0081326E"/>
    <w:rsid w:val="008137B0"/>
    <w:rsid w:val="0081521B"/>
    <w:rsid w:val="00821517"/>
    <w:rsid w:val="008301EC"/>
    <w:rsid w:val="00856FA4"/>
    <w:rsid w:val="00862113"/>
    <w:rsid w:val="00870139"/>
    <w:rsid w:val="008724D6"/>
    <w:rsid w:val="008775D7"/>
    <w:rsid w:val="00881BC9"/>
    <w:rsid w:val="00884AC7"/>
    <w:rsid w:val="00884B9C"/>
    <w:rsid w:val="00895D80"/>
    <w:rsid w:val="00895FBB"/>
    <w:rsid w:val="008A0678"/>
    <w:rsid w:val="008A1557"/>
    <w:rsid w:val="008A1D1C"/>
    <w:rsid w:val="008A4224"/>
    <w:rsid w:val="008A4682"/>
    <w:rsid w:val="008A739E"/>
    <w:rsid w:val="008B5184"/>
    <w:rsid w:val="008B55C2"/>
    <w:rsid w:val="008C01F7"/>
    <w:rsid w:val="008C1BDA"/>
    <w:rsid w:val="008C2C8A"/>
    <w:rsid w:val="008D0B3C"/>
    <w:rsid w:val="008D1C6F"/>
    <w:rsid w:val="008E05E3"/>
    <w:rsid w:val="008E0850"/>
    <w:rsid w:val="008E5CD5"/>
    <w:rsid w:val="008F26F3"/>
    <w:rsid w:val="008F7570"/>
    <w:rsid w:val="0090016E"/>
    <w:rsid w:val="00903A2C"/>
    <w:rsid w:val="00910D54"/>
    <w:rsid w:val="0091470C"/>
    <w:rsid w:val="00920B07"/>
    <w:rsid w:val="00925509"/>
    <w:rsid w:val="00934138"/>
    <w:rsid w:val="0093460A"/>
    <w:rsid w:val="00934C34"/>
    <w:rsid w:val="0093657B"/>
    <w:rsid w:val="009374BC"/>
    <w:rsid w:val="0094267E"/>
    <w:rsid w:val="00950249"/>
    <w:rsid w:val="00957C01"/>
    <w:rsid w:val="009618BA"/>
    <w:rsid w:val="00963C3D"/>
    <w:rsid w:val="00970B1F"/>
    <w:rsid w:val="00985CB7"/>
    <w:rsid w:val="00986A83"/>
    <w:rsid w:val="00993CC0"/>
    <w:rsid w:val="009A6C37"/>
    <w:rsid w:val="009B5444"/>
    <w:rsid w:val="009C3F2D"/>
    <w:rsid w:val="009C6AE8"/>
    <w:rsid w:val="009E1662"/>
    <w:rsid w:val="009F3770"/>
    <w:rsid w:val="00A051D9"/>
    <w:rsid w:val="00A21710"/>
    <w:rsid w:val="00A21EF8"/>
    <w:rsid w:val="00A24899"/>
    <w:rsid w:val="00A3243C"/>
    <w:rsid w:val="00A3401B"/>
    <w:rsid w:val="00A52998"/>
    <w:rsid w:val="00A578F7"/>
    <w:rsid w:val="00A57E11"/>
    <w:rsid w:val="00A61271"/>
    <w:rsid w:val="00A741B2"/>
    <w:rsid w:val="00A75EDC"/>
    <w:rsid w:val="00A822C2"/>
    <w:rsid w:val="00A827AB"/>
    <w:rsid w:val="00A82AF8"/>
    <w:rsid w:val="00A844D0"/>
    <w:rsid w:val="00A854EE"/>
    <w:rsid w:val="00A86ECB"/>
    <w:rsid w:val="00A90F14"/>
    <w:rsid w:val="00A9441E"/>
    <w:rsid w:val="00A96751"/>
    <w:rsid w:val="00AA43C4"/>
    <w:rsid w:val="00AB5449"/>
    <w:rsid w:val="00AC3C21"/>
    <w:rsid w:val="00AC696A"/>
    <w:rsid w:val="00AD034F"/>
    <w:rsid w:val="00AD3663"/>
    <w:rsid w:val="00AD36B2"/>
    <w:rsid w:val="00AD74B2"/>
    <w:rsid w:val="00AE2F50"/>
    <w:rsid w:val="00AE4353"/>
    <w:rsid w:val="00AE7280"/>
    <w:rsid w:val="00AF368D"/>
    <w:rsid w:val="00B00846"/>
    <w:rsid w:val="00B0573F"/>
    <w:rsid w:val="00B079DA"/>
    <w:rsid w:val="00B16652"/>
    <w:rsid w:val="00B26A01"/>
    <w:rsid w:val="00B26A30"/>
    <w:rsid w:val="00B30BB9"/>
    <w:rsid w:val="00B435A3"/>
    <w:rsid w:val="00B471CC"/>
    <w:rsid w:val="00B47B58"/>
    <w:rsid w:val="00B512B8"/>
    <w:rsid w:val="00B521D4"/>
    <w:rsid w:val="00B57F32"/>
    <w:rsid w:val="00B61FCD"/>
    <w:rsid w:val="00B72EB6"/>
    <w:rsid w:val="00B75260"/>
    <w:rsid w:val="00B7668F"/>
    <w:rsid w:val="00B8285F"/>
    <w:rsid w:val="00B90F97"/>
    <w:rsid w:val="00B9234D"/>
    <w:rsid w:val="00B9551F"/>
    <w:rsid w:val="00B96BC7"/>
    <w:rsid w:val="00BA1B6B"/>
    <w:rsid w:val="00BB285E"/>
    <w:rsid w:val="00BB2D80"/>
    <w:rsid w:val="00BC237D"/>
    <w:rsid w:val="00BC6454"/>
    <w:rsid w:val="00BD0032"/>
    <w:rsid w:val="00BD4AFD"/>
    <w:rsid w:val="00BD5433"/>
    <w:rsid w:val="00BD58E3"/>
    <w:rsid w:val="00BD600D"/>
    <w:rsid w:val="00BF47C9"/>
    <w:rsid w:val="00C048F4"/>
    <w:rsid w:val="00C05E32"/>
    <w:rsid w:val="00C06B9E"/>
    <w:rsid w:val="00C131CB"/>
    <w:rsid w:val="00C14DCC"/>
    <w:rsid w:val="00C15F66"/>
    <w:rsid w:val="00C228B0"/>
    <w:rsid w:val="00C23CAB"/>
    <w:rsid w:val="00C27A2A"/>
    <w:rsid w:val="00C414A6"/>
    <w:rsid w:val="00C419C5"/>
    <w:rsid w:val="00C44E5A"/>
    <w:rsid w:val="00C462C1"/>
    <w:rsid w:val="00C52867"/>
    <w:rsid w:val="00C5393B"/>
    <w:rsid w:val="00C54AC6"/>
    <w:rsid w:val="00C6110B"/>
    <w:rsid w:val="00C62A00"/>
    <w:rsid w:val="00C63184"/>
    <w:rsid w:val="00C6449C"/>
    <w:rsid w:val="00C7215A"/>
    <w:rsid w:val="00C75814"/>
    <w:rsid w:val="00C76CE3"/>
    <w:rsid w:val="00C86F63"/>
    <w:rsid w:val="00C97CC3"/>
    <w:rsid w:val="00CA1C3F"/>
    <w:rsid w:val="00CA43ED"/>
    <w:rsid w:val="00CA48A0"/>
    <w:rsid w:val="00CB10BC"/>
    <w:rsid w:val="00CC4C0C"/>
    <w:rsid w:val="00CD07B4"/>
    <w:rsid w:val="00CD0996"/>
    <w:rsid w:val="00CD0F98"/>
    <w:rsid w:val="00CF295D"/>
    <w:rsid w:val="00CF2ABA"/>
    <w:rsid w:val="00D02F02"/>
    <w:rsid w:val="00D11030"/>
    <w:rsid w:val="00D201A1"/>
    <w:rsid w:val="00D204BF"/>
    <w:rsid w:val="00D33B3A"/>
    <w:rsid w:val="00D4142C"/>
    <w:rsid w:val="00D427BC"/>
    <w:rsid w:val="00D46928"/>
    <w:rsid w:val="00D60240"/>
    <w:rsid w:val="00D645DB"/>
    <w:rsid w:val="00D73600"/>
    <w:rsid w:val="00D73723"/>
    <w:rsid w:val="00D902CF"/>
    <w:rsid w:val="00D93798"/>
    <w:rsid w:val="00DA4D9F"/>
    <w:rsid w:val="00DA5D17"/>
    <w:rsid w:val="00DA7C7F"/>
    <w:rsid w:val="00DB544A"/>
    <w:rsid w:val="00DB6288"/>
    <w:rsid w:val="00DB71F1"/>
    <w:rsid w:val="00DC42DE"/>
    <w:rsid w:val="00DC43CD"/>
    <w:rsid w:val="00DC4FA7"/>
    <w:rsid w:val="00DC7243"/>
    <w:rsid w:val="00DD2F3D"/>
    <w:rsid w:val="00DD7BCB"/>
    <w:rsid w:val="00DE1C5D"/>
    <w:rsid w:val="00DE364E"/>
    <w:rsid w:val="00DE5AC3"/>
    <w:rsid w:val="00DF780B"/>
    <w:rsid w:val="00E037BE"/>
    <w:rsid w:val="00E048EA"/>
    <w:rsid w:val="00E05871"/>
    <w:rsid w:val="00E05B9C"/>
    <w:rsid w:val="00E159C8"/>
    <w:rsid w:val="00E165FC"/>
    <w:rsid w:val="00E21FEA"/>
    <w:rsid w:val="00E33C12"/>
    <w:rsid w:val="00E36ACE"/>
    <w:rsid w:val="00E372B8"/>
    <w:rsid w:val="00E408A9"/>
    <w:rsid w:val="00E455B7"/>
    <w:rsid w:val="00E45B3B"/>
    <w:rsid w:val="00E472EA"/>
    <w:rsid w:val="00E50785"/>
    <w:rsid w:val="00E56CE7"/>
    <w:rsid w:val="00E614CB"/>
    <w:rsid w:val="00E6385A"/>
    <w:rsid w:val="00E6631C"/>
    <w:rsid w:val="00E733C7"/>
    <w:rsid w:val="00E74325"/>
    <w:rsid w:val="00E76853"/>
    <w:rsid w:val="00E800A8"/>
    <w:rsid w:val="00E83424"/>
    <w:rsid w:val="00E84938"/>
    <w:rsid w:val="00E859F0"/>
    <w:rsid w:val="00E9295E"/>
    <w:rsid w:val="00EB2DBB"/>
    <w:rsid w:val="00EC2C0C"/>
    <w:rsid w:val="00EC34A0"/>
    <w:rsid w:val="00EC38B0"/>
    <w:rsid w:val="00EC550F"/>
    <w:rsid w:val="00ED2993"/>
    <w:rsid w:val="00ED29ED"/>
    <w:rsid w:val="00ED3B34"/>
    <w:rsid w:val="00ED65C0"/>
    <w:rsid w:val="00EE38DA"/>
    <w:rsid w:val="00EE6CFE"/>
    <w:rsid w:val="00F0527C"/>
    <w:rsid w:val="00F117C6"/>
    <w:rsid w:val="00F22251"/>
    <w:rsid w:val="00F3167F"/>
    <w:rsid w:val="00F4328B"/>
    <w:rsid w:val="00F44876"/>
    <w:rsid w:val="00F44FA6"/>
    <w:rsid w:val="00F52060"/>
    <w:rsid w:val="00F66B1B"/>
    <w:rsid w:val="00F7209B"/>
    <w:rsid w:val="00F77C08"/>
    <w:rsid w:val="00F855DD"/>
    <w:rsid w:val="00F877A0"/>
    <w:rsid w:val="00F915C5"/>
    <w:rsid w:val="00FA00D7"/>
    <w:rsid w:val="00FA3359"/>
    <w:rsid w:val="00FB3F41"/>
    <w:rsid w:val="00FB4B16"/>
    <w:rsid w:val="00FB6C42"/>
    <w:rsid w:val="00FC04A3"/>
    <w:rsid w:val="00FC1793"/>
    <w:rsid w:val="00FD0565"/>
    <w:rsid w:val="00FD3A95"/>
    <w:rsid w:val="00FD3D43"/>
    <w:rsid w:val="00FD6239"/>
    <w:rsid w:val="00FE520B"/>
    <w:rsid w:val="00FE636E"/>
    <w:rsid w:val="00FE7645"/>
    <w:rsid w:val="00FE7963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794DA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41B2"/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 w:line="240" w:lineRule="auto"/>
      <w:outlineLvl w:val="0"/>
    </w:pPr>
    <w:rPr>
      <w:rFonts w:asciiTheme="minorHAnsi" w:hAnsiTheme="minorHAnsi"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 w:line="240" w:lineRule="auto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 w:line="240" w:lineRule="auto"/>
    </w:pPr>
    <w:rPr>
      <w:rFonts w:ascii="Trebuchet MS" w:hAnsi="Trebuchet MS"/>
      <w:i/>
      <w:color w:val="FF0000"/>
      <w:szCs w:val="24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pPr>
      <w:spacing w:after="0" w:line="240" w:lineRule="auto"/>
    </w:pPr>
    <w:rPr>
      <w:rFonts w:asciiTheme="minorHAnsi" w:hAnsiTheme="minorHAnsi"/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spacing w:after="0" w:line="240" w:lineRule="auto"/>
      <w:jc w:val="right"/>
    </w:pPr>
    <w:rPr>
      <w:rFonts w:asciiTheme="minorHAnsi" w:hAnsiTheme="minorHAnsi"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spacing w:after="0" w:line="240" w:lineRule="auto"/>
      <w:ind w:left="720"/>
      <w:contextualSpacing/>
    </w:pPr>
    <w:rPr>
      <w:rFonts w:asciiTheme="minorHAnsi" w:hAnsiTheme="minorHAnsi"/>
      <w:szCs w:val="24"/>
    </w:r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7E7E00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7E7E0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7E7E00"/>
    <w:rPr>
      <w:vertAlign w:val="superscript"/>
    </w:rPr>
  </w:style>
  <w:style w:type="table" w:styleId="TableContemporary">
    <w:name w:val="Table Contemporary"/>
    <w:aliases w:val="WP Table"/>
    <w:basedOn w:val="TableNormal"/>
    <w:unhideWhenUsed/>
    <w:rsid w:val="000B6542"/>
    <w:pPr>
      <w:spacing w:after="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Spacing">
    <w:name w:val="No Spacing"/>
    <w:uiPriority w:val="1"/>
    <w:qFormat/>
    <w:rsid w:val="00D4142C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B90F9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1D921C-2D51-4E69-A2DB-1600F7B7E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2018-12-27T05:45:00Z</dcterms:created>
  <dcterms:modified xsi:type="dcterms:W3CDTF">2018-12-28T04:10:00Z</dcterms:modified>
</cp:coreProperties>
</file>